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B71" w:rsidRDefault="00D03B71">
      <w:pPr>
        <w:rPr>
          <w:b/>
          <w:color w:val="538135" w:themeColor="accent6" w:themeShade="BF"/>
          <w:sz w:val="28"/>
          <w:szCs w:val="28"/>
        </w:rPr>
      </w:pPr>
      <w:bookmarkStart w:id="0" w:name="_GoBack"/>
      <w:bookmarkEnd w:id="0"/>
      <w:r>
        <w:rPr>
          <w:b/>
          <w:color w:val="538135" w:themeColor="accent6" w:themeShade="BF"/>
          <w:sz w:val="28"/>
          <w:szCs w:val="28"/>
        </w:rPr>
        <w:t>VII. Energy</w:t>
      </w:r>
    </w:p>
    <w:p w:rsidR="00D03B71" w:rsidRPr="00D03B71" w:rsidRDefault="00D03B71">
      <w:pPr>
        <w:rPr>
          <w:b/>
          <w:color w:val="538135" w:themeColor="accent6" w:themeShade="BF"/>
          <w:sz w:val="28"/>
          <w:szCs w:val="28"/>
        </w:rPr>
      </w:pPr>
      <w:r>
        <w:rPr>
          <w:b/>
          <w:color w:val="538135" w:themeColor="accent6" w:themeShade="BF"/>
          <w:sz w:val="28"/>
          <w:szCs w:val="28"/>
        </w:rPr>
        <w:t>B</w:t>
      </w:r>
      <w:r w:rsidRPr="00D03B71">
        <w:rPr>
          <w:b/>
          <w:color w:val="538135" w:themeColor="accent6" w:themeShade="BF"/>
          <w:sz w:val="28"/>
          <w:szCs w:val="28"/>
        </w:rPr>
        <w:t>ackground:</w:t>
      </w:r>
    </w:p>
    <w:p w:rsidR="00D13E9D" w:rsidRDefault="00D03B71">
      <w:pPr>
        <w:rPr>
          <w:strike/>
          <w:color w:val="000000" w:themeColor="text1"/>
        </w:rPr>
      </w:pPr>
      <w:r>
        <w:rPr>
          <w:color w:val="000000" w:themeColor="text1"/>
        </w:rPr>
        <w:t xml:space="preserve">Sound local planning can play a positive and effective role in guiding energy use by promoting appropriate land use patterns, participating in energy development decisions, facilitating alternative transportation options, and encouraging energy conservation strategies.  </w:t>
      </w:r>
      <w:r w:rsidRPr="00D03B71">
        <w:rPr>
          <w:strike/>
          <w:color w:val="000000" w:themeColor="text1"/>
        </w:rPr>
        <w:t>Sustainable</w:t>
      </w:r>
      <w:r>
        <w:rPr>
          <w:color w:val="000000" w:themeColor="text1"/>
        </w:rPr>
        <w:t xml:space="preserve"> </w:t>
      </w:r>
      <w:r w:rsidRPr="00D03B71">
        <w:rPr>
          <w:color w:val="000000" w:themeColor="text1"/>
          <w:u w:val="single"/>
        </w:rPr>
        <w:t>Renewable</w:t>
      </w:r>
      <w:r>
        <w:rPr>
          <w:color w:val="000000" w:themeColor="text1"/>
        </w:rPr>
        <w:t xml:space="preserve"> energy use can maintain a healthy environment and build a foundation for economic health and stability.  The energy security of Bradford depends on being able to provide consistently and sustainable energy services such as heat for our homes, affordable transportation, and light and energy for our homes and workplaces.  </w:t>
      </w:r>
      <w:r w:rsidR="00007BA5">
        <w:rPr>
          <w:color w:val="000000" w:themeColor="text1"/>
        </w:rPr>
        <w:t xml:space="preserve">Sustainability must be the basic principle of a long-term energy plan.  </w:t>
      </w:r>
      <w:r w:rsidR="00007BA5" w:rsidRPr="00007BA5">
        <w:rPr>
          <w:strike/>
          <w:color w:val="000000" w:themeColor="text1"/>
        </w:rPr>
        <w:t>Bradford cannot rely on non-renewable energy sources indefinitely, as non-renewable sources are by definition unsustainable.</w:t>
      </w:r>
    </w:p>
    <w:p w:rsidR="00007BA5" w:rsidRDefault="00007BA5">
      <w:pPr>
        <w:rPr>
          <w:color w:val="000000" w:themeColor="text1"/>
        </w:rPr>
      </w:pPr>
      <w:r>
        <w:rPr>
          <w:color w:val="000000" w:themeColor="text1"/>
        </w:rPr>
        <w:t xml:space="preserve">As patterns of settlement affect energy use, so the implementation of energy goals and policies affect patterns of settlement in Bradford.  Highly dispersed and unplanned patterns of land use result in inefficient and uneconomic use of land and energy resources.  Land use policies and provisions adopted by Bradford relative to employment location and other facilities can encourage the use of public transportation and carpooling, </w:t>
      </w:r>
      <w:r w:rsidRPr="00007BA5">
        <w:rPr>
          <w:strike/>
          <w:color w:val="000000" w:themeColor="text1"/>
        </w:rPr>
        <w:t>thus</w:t>
      </w:r>
      <w:r>
        <w:rPr>
          <w:color w:val="000000" w:themeColor="text1"/>
        </w:rPr>
        <w:t xml:space="preserve"> reducing the consumption of energy and the need for additional parking </w:t>
      </w:r>
      <w:r w:rsidRPr="00007BA5">
        <w:rPr>
          <w:strike/>
          <w:color w:val="000000" w:themeColor="text1"/>
        </w:rPr>
        <w:t>facilities</w:t>
      </w:r>
      <w:r>
        <w:rPr>
          <w:color w:val="000000" w:themeColor="text1"/>
        </w:rPr>
        <w:t>.</w:t>
      </w:r>
    </w:p>
    <w:p w:rsidR="00007BA5" w:rsidRPr="00007BA5" w:rsidRDefault="002A6925">
      <w:pPr>
        <w:rPr>
          <w:color w:val="000000" w:themeColor="text1"/>
        </w:rPr>
      </w:pPr>
      <w:r>
        <w:rPr>
          <w:color w:val="000000" w:themeColor="text1"/>
        </w:rPr>
        <w:t>Bradford residents have expressed concern over the impact of industrial scale energy developments, fearing that</w:t>
      </w:r>
      <w:r w:rsidRPr="002A6925">
        <w:rPr>
          <w:strike/>
          <w:color w:val="000000" w:themeColor="text1"/>
        </w:rPr>
        <w:t xml:space="preserve"> it</w:t>
      </w:r>
      <w:r>
        <w:rPr>
          <w:color w:val="000000" w:themeColor="text1"/>
        </w:rPr>
        <w:t xml:space="preserve"> </w:t>
      </w:r>
      <w:r w:rsidRPr="002A6925">
        <w:rPr>
          <w:color w:val="000000" w:themeColor="text1"/>
          <w:u w:val="single"/>
        </w:rPr>
        <w:t xml:space="preserve">they </w:t>
      </w:r>
      <w:r w:rsidRPr="002A6925">
        <w:rPr>
          <w:color w:val="000000" w:themeColor="text1"/>
        </w:rPr>
        <w:t>could</w:t>
      </w:r>
      <w:r>
        <w:rPr>
          <w:color w:val="000000" w:themeColor="text1"/>
        </w:rPr>
        <w:t xml:space="preserve"> destroy the character of the town.  Therefore, industrial-scale power generation and transmission facilities are inappropriate in the town.  This includes, but is not limited to, industrial-scale wind turbines and their associated transmission facilities.  Development of industrial wind turbines generally occurs at higher elevations, often along ridgelines.  In Bradford, these areas are among the town’s most sensitive ecological areas, most wild and unfragmented lands, and are highly visible from conservation lands, scenic roads and dwellings.  Such large</w:t>
      </w:r>
      <w:r w:rsidR="00A837C3">
        <w:rPr>
          <w:color w:val="000000" w:themeColor="text1"/>
        </w:rPr>
        <w:t>-</w:t>
      </w:r>
      <w:r>
        <w:rPr>
          <w:color w:val="000000" w:themeColor="text1"/>
        </w:rPr>
        <w:t xml:space="preserve">scale energy transmission facilities are inconsistent with the town’s vision and goals. </w:t>
      </w:r>
    </w:p>
    <w:p w:rsidR="00A837C3" w:rsidRDefault="00A837C3">
      <w:pPr>
        <w:rPr>
          <w:b/>
          <w:color w:val="538135" w:themeColor="accent6" w:themeShade="BF"/>
          <w:sz w:val="28"/>
          <w:szCs w:val="28"/>
        </w:rPr>
      </w:pPr>
      <w:r>
        <w:rPr>
          <w:b/>
          <w:noProof/>
          <w:color w:val="538135" w:themeColor="accent6" w:themeShade="BF"/>
          <w:sz w:val="28"/>
          <w:szCs w:val="28"/>
        </w:rPr>
        <mc:AlternateContent>
          <mc:Choice Requires="wps">
            <w:drawing>
              <wp:anchor distT="45720" distB="45720" distL="114300" distR="114300" simplePos="0" relativeHeight="251658752" behindDoc="0" locked="0" layoutInCell="1" allowOverlap="1">
                <wp:simplePos x="0" y="0"/>
                <wp:positionH relativeFrom="column">
                  <wp:posOffset>2720975</wp:posOffset>
                </wp:positionH>
                <wp:positionV relativeFrom="paragraph">
                  <wp:posOffset>239395</wp:posOffset>
                </wp:positionV>
                <wp:extent cx="3451225" cy="3067685"/>
                <wp:effectExtent l="6350" t="9525" r="9525" b="889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3067685"/>
                        </a:xfrm>
                        <a:prstGeom prst="rect">
                          <a:avLst/>
                        </a:prstGeom>
                        <a:solidFill>
                          <a:srgbClr val="FFFFFF"/>
                        </a:solidFill>
                        <a:ln w="12700">
                          <a:solidFill>
                            <a:srgbClr val="4472C4"/>
                          </a:solidFill>
                          <a:miter lim="800000"/>
                          <a:headEnd/>
                          <a:tailEnd/>
                        </a:ln>
                      </wps:spPr>
                      <wps:txbx>
                        <w:txbxContent>
                          <w:p w:rsidR="00A837C3" w:rsidRPr="00AF3564" w:rsidRDefault="00A837C3" w:rsidP="00A837C3">
                            <w:pPr>
                              <w:pStyle w:val="Heading3"/>
                              <w:pBdr>
                                <w:bottom w:val="single" w:sz="6" w:space="5" w:color="DADADA"/>
                              </w:pBdr>
                              <w:spacing w:before="0" w:after="240"/>
                              <w:jc w:val="center"/>
                              <w:textAlignment w:val="baseline"/>
                              <w:rPr>
                                <w:caps/>
                                <w:color w:val="333333"/>
                                <w:sz w:val="21"/>
                                <w:szCs w:val="21"/>
                              </w:rPr>
                            </w:pPr>
                            <w:r>
                              <w:rPr>
                                <w:caps/>
                                <w:color w:val="333333"/>
                                <w:sz w:val="21"/>
                                <w:szCs w:val="21"/>
                              </w:rPr>
                              <w:t xml:space="preserve">VERMONT ENERGY </w:t>
                            </w:r>
                            <w:r w:rsidRPr="00AF3564">
                              <w:rPr>
                                <w:caps/>
                                <w:color w:val="333333"/>
                                <w:sz w:val="21"/>
                                <w:szCs w:val="21"/>
                              </w:rPr>
                              <w:t>QUICK FACTS</w:t>
                            </w:r>
                          </w:p>
                          <w:p w:rsidR="00A837C3" w:rsidRPr="00AF3564" w:rsidRDefault="00A837C3" w:rsidP="00A837C3">
                            <w:pPr>
                              <w:numPr>
                                <w:ilvl w:val="0"/>
                                <w:numId w:val="8"/>
                              </w:numPr>
                              <w:spacing w:before="75" w:after="0" w:line="240" w:lineRule="auto"/>
                              <w:ind w:right="360"/>
                              <w:textAlignment w:val="baseline"/>
                              <w:rPr>
                                <w:rFonts w:ascii="inherit" w:hAnsi="inherit" w:cs="Arial"/>
                                <w:color w:val="333333"/>
                                <w:sz w:val="18"/>
                                <w:szCs w:val="18"/>
                              </w:rPr>
                            </w:pPr>
                            <w:r w:rsidRPr="00AF3564">
                              <w:rPr>
                                <w:rFonts w:ascii="inherit" w:hAnsi="inherit" w:cs="Arial"/>
                                <w:color w:val="333333"/>
                                <w:sz w:val="18"/>
                                <w:szCs w:val="18"/>
                              </w:rPr>
                              <w:t>One in six Vermont households uses wood products, such as wood pellets, as their primary heating source.</w:t>
                            </w:r>
                          </w:p>
                          <w:p w:rsidR="00A837C3" w:rsidRPr="00AF3564" w:rsidRDefault="00A837C3" w:rsidP="00A837C3">
                            <w:pPr>
                              <w:numPr>
                                <w:ilvl w:val="0"/>
                                <w:numId w:val="8"/>
                              </w:numPr>
                              <w:spacing w:before="75" w:after="0" w:line="240" w:lineRule="auto"/>
                              <w:ind w:right="360"/>
                              <w:textAlignment w:val="baseline"/>
                              <w:rPr>
                                <w:rFonts w:ascii="inherit" w:hAnsi="inherit" w:cs="Arial"/>
                                <w:color w:val="333333"/>
                                <w:sz w:val="18"/>
                                <w:szCs w:val="18"/>
                              </w:rPr>
                            </w:pPr>
                            <w:r w:rsidRPr="00AF3564">
                              <w:rPr>
                                <w:rFonts w:ascii="inherit" w:hAnsi="inherit" w:cs="Arial"/>
                                <w:color w:val="333333"/>
                                <w:sz w:val="18"/>
                                <w:szCs w:val="18"/>
                              </w:rPr>
                              <w:t>Vermont produces less than 35% of the electricity it consumes and depends on power from the New England grid and Canada.</w:t>
                            </w:r>
                          </w:p>
                          <w:p w:rsidR="00A837C3" w:rsidRPr="00AF3564" w:rsidRDefault="00A837C3" w:rsidP="00A837C3">
                            <w:pPr>
                              <w:numPr>
                                <w:ilvl w:val="0"/>
                                <w:numId w:val="8"/>
                              </w:numPr>
                              <w:spacing w:before="75" w:after="0" w:line="240" w:lineRule="auto"/>
                              <w:ind w:right="360"/>
                              <w:textAlignment w:val="baseline"/>
                              <w:rPr>
                                <w:rFonts w:ascii="inherit" w:hAnsi="inherit" w:cs="Arial"/>
                                <w:color w:val="333333"/>
                                <w:sz w:val="18"/>
                                <w:szCs w:val="18"/>
                              </w:rPr>
                            </w:pPr>
                            <w:r w:rsidRPr="00AF3564">
                              <w:rPr>
                                <w:rFonts w:ascii="inherit" w:hAnsi="inherit" w:cs="Arial"/>
                                <w:color w:val="333333"/>
                                <w:sz w:val="18"/>
                                <w:szCs w:val="18"/>
                              </w:rPr>
                              <w:t>In 2016, nearly all of Vermont's in-state net electricity generation was produced by renewable energy, including hydroelectric, biomass, wind, and solar resources.</w:t>
                            </w:r>
                          </w:p>
                          <w:p w:rsidR="00A837C3" w:rsidRPr="00AF3564" w:rsidRDefault="00A837C3" w:rsidP="00A837C3">
                            <w:pPr>
                              <w:numPr>
                                <w:ilvl w:val="0"/>
                                <w:numId w:val="8"/>
                              </w:numPr>
                              <w:spacing w:before="75" w:after="0" w:line="240" w:lineRule="auto"/>
                              <w:ind w:right="360"/>
                              <w:textAlignment w:val="baseline"/>
                              <w:rPr>
                                <w:rFonts w:ascii="inherit" w:hAnsi="inherit" w:cs="Arial"/>
                                <w:color w:val="333333"/>
                                <w:sz w:val="18"/>
                                <w:szCs w:val="18"/>
                              </w:rPr>
                            </w:pPr>
                            <w:r w:rsidRPr="00AF3564">
                              <w:rPr>
                                <w:rFonts w:ascii="inherit" w:hAnsi="inherit" w:cs="Arial"/>
                                <w:color w:val="333333"/>
                                <w:sz w:val="18"/>
                                <w:szCs w:val="18"/>
                              </w:rPr>
                              <w:t>In the years 2011 through 2016, Vermont installed 59.2 megawatts of commercial-scale solar photovoltaic capacity, 26.8 megawatts in 2016 alone.</w:t>
                            </w:r>
                          </w:p>
                          <w:p w:rsidR="00A837C3" w:rsidRPr="00AF3564" w:rsidRDefault="00A837C3" w:rsidP="00A837C3">
                            <w:pPr>
                              <w:numPr>
                                <w:ilvl w:val="0"/>
                                <w:numId w:val="8"/>
                              </w:numPr>
                              <w:spacing w:before="75" w:after="0" w:line="240" w:lineRule="auto"/>
                              <w:ind w:right="360"/>
                              <w:textAlignment w:val="baseline"/>
                              <w:rPr>
                                <w:rFonts w:ascii="inherit" w:hAnsi="inherit" w:cs="Arial"/>
                                <w:color w:val="333333"/>
                                <w:sz w:val="18"/>
                                <w:szCs w:val="18"/>
                              </w:rPr>
                            </w:pPr>
                            <w:r w:rsidRPr="00AF3564">
                              <w:rPr>
                                <w:rFonts w:ascii="inherit" w:hAnsi="inherit" w:cs="Arial"/>
                                <w:color w:val="333333"/>
                                <w:sz w:val="18"/>
                                <w:szCs w:val="18"/>
                              </w:rPr>
                              <w:t>Vermont has enacted the nation's first integrated renewable energy standard (RES), which makes utilities responsible both for supplying renewable electricity and for supporting reductions in customers' fossil fuel use.</w:t>
                            </w:r>
                          </w:p>
                          <w:p w:rsidR="00A837C3" w:rsidRPr="00AF3564" w:rsidRDefault="00A837C3" w:rsidP="00A837C3">
                            <w:pPr>
                              <w:spacing w:before="210"/>
                              <w:textAlignment w:val="baseline"/>
                              <w:rPr>
                                <w:rFonts w:ascii="inherit" w:hAnsi="inherit" w:cs="Arial"/>
                                <w:color w:val="7D7D7D"/>
                                <w:sz w:val="17"/>
                                <w:szCs w:val="17"/>
                                <w:lang w:val="fr-FR"/>
                              </w:rPr>
                            </w:pPr>
                            <w:proofErr w:type="gramStart"/>
                            <w:r w:rsidRPr="00AF3564">
                              <w:rPr>
                                <w:rFonts w:ascii="inherit" w:hAnsi="inherit" w:cs="Arial"/>
                                <w:color w:val="7D7D7D"/>
                                <w:sz w:val="17"/>
                                <w:szCs w:val="17"/>
                                <w:lang w:val="fr-FR"/>
                              </w:rPr>
                              <w:t>Source:</w:t>
                            </w:r>
                            <w:proofErr w:type="gramEnd"/>
                            <w:r w:rsidRPr="00AF3564">
                              <w:rPr>
                                <w:rFonts w:ascii="inherit" w:hAnsi="inherit" w:cs="Arial"/>
                                <w:color w:val="7D7D7D"/>
                                <w:sz w:val="17"/>
                                <w:szCs w:val="17"/>
                                <w:lang w:val="fr-FR"/>
                              </w:rPr>
                              <w:t xml:space="preserve"> </w:t>
                            </w:r>
                            <w:r>
                              <w:rPr>
                                <w:rFonts w:ascii="inherit" w:hAnsi="inherit" w:cs="Arial"/>
                                <w:color w:val="7D7D7D"/>
                                <w:sz w:val="17"/>
                                <w:szCs w:val="17"/>
                                <w:lang w:val="fr-FR"/>
                              </w:rPr>
                              <w:t xml:space="preserve"> </w:t>
                            </w:r>
                            <w:hyperlink r:id="rId7" w:history="1">
                              <w:r w:rsidRPr="00C75D3E">
                                <w:rPr>
                                  <w:rStyle w:val="Hyperlink"/>
                                  <w:rFonts w:ascii="inherit" w:hAnsi="inherit" w:cs="Arial"/>
                                  <w:sz w:val="17"/>
                                  <w:szCs w:val="17"/>
                                  <w:lang w:val="fr-FR"/>
                                </w:rPr>
                                <w:t>https://www.eia.gov</w:t>
                              </w:r>
                            </w:hyperlink>
                            <w:r>
                              <w:rPr>
                                <w:rFonts w:ascii="inherit" w:hAnsi="inherit" w:cs="Arial"/>
                                <w:color w:val="7D7D7D"/>
                                <w:sz w:val="17"/>
                                <w:szCs w:val="17"/>
                                <w:lang w:val="fr-FR"/>
                              </w:rPr>
                              <w:t xml:space="preserve"> – June 15, 2017</w:t>
                            </w:r>
                          </w:p>
                          <w:p w:rsidR="00A837C3" w:rsidRPr="00AF3564" w:rsidRDefault="00A837C3" w:rsidP="00A837C3">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14.25pt;margin-top:18.85pt;width:271.75pt;height:241.5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" strokecolor="#4472c4" strokeweight="1pt">
                <v:textbox>
                  <w:txbxContent>
                    <w:p w:rsidR="00A837C3" w:rsidRPr="00AF3564" w:rsidRDefault="00A837C3" w:rsidP="00A837C3">
                      <w:pPr>
                        <w:pStyle w:val="Heading3"/>
                        <w:pBdr>
                          <w:bottom w:val="single" w:sz="6" w:space="5" w:color="DADADA"/>
                        </w:pBdr>
                        <w:spacing w:before="0" w:after="240"/>
                        <w:jc w:val="center"/>
                        <w:textAlignment w:val="baseline"/>
                        <w:rPr>
                          <w:caps/>
                          <w:color w:val="333333"/>
                          <w:sz w:val="21"/>
                          <w:szCs w:val="21"/>
                        </w:rPr>
                      </w:pPr>
                      <w:r>
                        <w:rPr>
                          <w:caps/>
                          <w:color w:val="333333"/>
                          <w:sz w:val="21"/>
                          <w:szCs w:val="21"/>
                        </w:rPr>
                        <w:t xml:space="preserve">VERMONT ENERGY </w:t>
                      </w:r>
                      <w:r w:rsidRPr="00AF3564">
                        <w:rPr>
                          <w:caps/>
                          <w:color w:val="333333"/>
                          <w:sz w:val="21"/>
                          <w:szCs w:val="21"/>
                        </w:rPr>
                        <w:t>QUICK FACTS</w:t>
                      </w:r>
                    </w:p>
                    <w:p w:rsidR="00A837C3" w:rsidRPr="00AF3564" w:rsidRDefault="00A837C3" w:rsidP="00A837C3">
                      <w:pPr>
                        <w:numPr>
                          <w:ilvl w:val="0"/>
                          <w:numId w:val="8"/>
                        </w:numPr>
                        <w:spacing w:before="75" w:after="0" w:line="240" w:lineRule="auto"/>
                        <w:ind w:right="360"/>
                        <w:textAlignment w:val="baseline"/>
                        <w:rPr>
                          <w:rFonts w:ascii="inherit" w:hAnsi="inherit" w:cs="Arial"/>
                          <w:color w:val="333333"/>
                          <w:sz w:val="18"/>
                          <w:szCs w:val="18"/>
                        </w:rPr>
                      </w:pPr>
                      <w:r w:rsidRPr="00AF3564">
                        <w:rPr>
                          <w:rFonts w:ascii="inherit" w:hAnsi="inherit" w:cs="Arial"/>
                          <w:color w:val="333333"/>
                          <w:sz w:val="18"/>
                          <w:szCs w:val="18"/>
                        </w:rPr>
                        <w:t>One in six Vermont households uses wood products, such as wood pellets, as their primary heating source.</w:t>
                      </w:r>
                    </w:p>
                    <w:p w:rsidR="00A837C3" w:rsidRPr="00AF3564" w:rsidRDefault="00A837C3" w:rsidP="00A837C3">
                      <w:pPr>
                        <w:numPr>
                          <w:ilvl w:val="0"/>
                          <w:numId w:val="8"/>
                        </w:numPr>
                        <w:spacing w:before="75" w:after="0" w:line="240" w:lineRule="auto"/>
                        <w:ind w:right="360"/>
                        <w:textAlignment w:val="baseline"/>
                        <w:rPr>
                          <w:rFonts w:ascii="inherit" w:hAnsi="inherit" w:cs="Arial"/>
                          <w:color w:val="333333"/>
                          <w:sz w:val="18"/>
                          <w:szCs w:val="18"/>
                        </w:rPr>
                      </w:pPr>
                      <w:r w:rsidRPr="00AF3564">
                        <w:rPr>
                          <w:rFonts w:ascii="inherit" w:hAnsi="inherit" w:cs="Arial"/>
                          <w:color w:val="333333"/>
                          <w:sz w:val="18"/>
                          <w:szCs w:val="18"/>
                        </w:rPr>
                        <w:t>Vermont produces less than 35% of the electricity it consumes and depends on power from the New England grid and Canada.</w:t>
                      </w:r>
                    </w:p>
                    <w:p w:rsidR="00A837C3" w:rsidRPr="00AF3564" w:rsidRDefault="00A837C3" w:rsidP="00A837C3">
                      <w:pPr>
                        <w:numPr>
                          <w:ilvl w:val="0"/>
                          <w:numId w:val="8"/>
                        </w:numPr>
                        <w:spacing w:before="75" w:after="0" w:line="240" w:lineRule="auto"/>
                        <w:ind w:right="360"/>
                        <w:textAlignment w:val="baseline"/>
                        <w:rPr>
                          <w:rFonts w:ascii="inherit" w:hAnsi="inherit" w:cs="Arial"/>
                          <w:color w:val="333333"/>
                          <w:sz w:val="18"/>
                          <w:szCs w:val="18"/>
                        </w:rPr>
                      </w:pPr>
                      <w:r w:rsidRPr="00AF3564">
                        <w:rPr>
                          <w:rFonts w:ascii="inherit" w:hAnsi="inherit" w:cs="Arial"/>
                          <w:color w:val="333333"/>
                          <w:sz w:val="18"/>
                          <w:szCs w:val="18"/>
                        </w:rPr>
                        <w:t>In 2016, nearly all of Vermont's in-state net electricity generation was produced by renewable energy, including hydroelectric, biomass, wind, and solar resources.</w:t>
                      </w:r>
                    </w:p>
                    <w:p w:rsidR="00A837C3" w:rsidRPr="00AF3564" w:rsidRDefault="00A837C3" w:rsidP="00A837C3">
                      <w:pPr>
                        <w:numPr>
                          <w:ilvl w:val="0"/>
                          <w:numId w:val="8"/>
                        </w:numPr>
                        <w:spacing w:before="75" w:after="0" w:line="240" w:lineRule="auto"/>
                        <w:ind w:right="360"/>
                        <w:textAlignment w:val="baseline"/>
                        <w:rPr>
                          <w:rFonts w:ascii="inherit" w:hAnsi="inherit" w:cs="Arial"/>
                          <w:color w:val="333333"/>
                          <w:sz w:val="18"/>
                          <w:szCs w:val="18"/>
                        </w:rPr>
                      </w:pPr>
                      <w:r w:rsidRPr="00AF3564">
                        <w:rPr>
                          <w:rFonts w:ascii="inherit" w:hAnsi="inherit" w:cs="Arial"/>
                          <w:color w:val="333333"/>
                          <w:sz w:val="18"/>
                          <w:szCs w:val="18"/>
                        </w:rPr>
                        <w:t>In the years 2011 through 2016, Vermont installed 59.2 megawatts of commercial-scale solar photovoltaic capacity, 26.8 megawatts in 2016 alone.</w:t>
                      </w:r>
                    </w:p>
                    <w:p w:rsidR="00A837C3" w:rsidRPr="00AF3564" w:rsidRDefault="00A837C3" w:rsidP="00A837C3">
                      <w:pPr>
                        <w:numPr>
                          <w:ilvl w:val="0"/>
                          <w:numId w:val="8"/>
                        </w:numPr>
                        <w:spacing w:before="75" w:after="0" w:line="240" w:lineRule="auto"/>
                        <w:ind w:right="360"/>
                        <w:textAlignment w:val="baseline"/>
                        <w:rPr>
                          <w:rFonts w:ascii="inherit" w:hAnsi="inherit" w:cs="Arial"/>
                          <w:color w:val="333333"/>
                          <w:sz w:val="18"/>
                          <w:szCs w:val="18"/>
                        </w:rPr>
                      </w:pPr>
                      <w:r w:rsidRPr="00AF3564">
                        <w:rPr>
                          <w:rFonts w:ascii="inherit" w:hAnsi="inherit" w:cs="Arial"/>
                          <w:color w:val="333333"/>
                          <w:sz w:val="18"/>
                          <w:szCs w:val="18"/>
                        </w:rPr>
                        <w:t>Vermont has enacted the nation's first integrated renewable energy standard (RES), which makes utilities responsible both for supplying renewable electricity and for supporting reductions in customers' fossil fuel use.</w:t>
                      </w:r>
                    </w:p>
                    <w:p w:rsidR="00A837C3" w:rsidRPr="00AF3564" w:rsidRDefault="00A837C3" w:rsidP="00A837C3">
                      <w:pPr>
                        <w:spacing w:before="210"/>
                        <w:textAlignment w:val="baseline"/>
                        <w:rPr>
                          <w:rFonts w:ascii="inherit" w:hAnsi="inherit" w:cs="Arial"/>
                          <w:color w:val="7D7D7D"/>
                          <w:sz w:val="17"/>
                          <w:szCs w:val="17"/>
                          <w:lang w:val="fr-FR"/>
                        </w:rPr>
                      </w:pPr>
                      <w:proofErr w:type="gramStart"/>
                      <w:r w:rsidRPr="00AF3564">
                        <w:rPr>
                          <w:rFonts w:ascii="inherit" w:hAnsi="inherit" w:cs="Arial"/>
                          <w:color w:val="7D7D7D"/>
                          <w:sz w:val="17"/>
                          <w:szCs w:val="17"/>
                          <w:lang w:val="fr-FR"/>
                        </w:rPr>
                        <w:t>Source:</w:t>
                      </w:r>
                      <w:proofErr w:type="gramEnd"/>
                      <w:r w:rsidRPr="00AF3564">
                        <w:rPr>
                          <w:rFonts w:ascii="inherit" w:hAnsi="inherit" w:cs="Arial"/>
                          <w:color w:val="7D7D7D"/>
                          <w:sz w:val="17"/>
                          <w:szCs w:val="17"/>
                          <w:lang w:val="fr-FR"/>
                        </w:rPr>
                        <w:t xml:space="preserve"> </w:t>
                      </w:r>
                      <w:r>
                        <w:rPr>
                          <w:rFonts w:ascii="inherit" w:hAnsi="inherit" w:cs="Arial"/>
                          <w:color w:val="7D7D7D"/>
                          <w:sz w:val="17"/>
                          <w:szCs w:val="17"/>
                          <w:lang w:val="fr-FR"/>
                        </w:rPr>
                        <w:t xml:space="preserve"> </w:t>
                      </w:r>
                      <w:hyperlink r:id="rId8" w:history="1">
                        <w:r w:rsidRPr="00C75D3E">
                          <w:rPr>
                            <w:rStyle w:val="Hyperlink"/>
                            <w:rFonts w:ascii="inherit" w:hAnsi="inherit" w:cs="Arial"/>
                            <w:sz w:val="17"/>
                            <w:szCs w:val="17"/>
                            <w:lang w:val="fr-FR"/>
                          </w:rPr>
                          <w:t>https://www.eia.gov</w:t>
                        </w:r>
                      </w:hyperlink>
                      <w:r>
                        <w:rPr>
                          <w:rFonts w:ascii="inherit" w:hAnsi="inherit" w:cs="Arial"/>
                          <w:color w:val="7D7D7D"/>
                          <w:sz w:val="17"/>
                          <w:szCs w:val="17"/>
                          <w:lang w:val="fr-FR"/>
                        </w:rPr>
                        <w:t xml:space="preserve"> – June 15, 2017</w:t>
                      </w:r>
                    </w:p>
                    <w:p w:rsidR="00A837C3" w:rsidRPr="00AF3564" w:rsidRDefault="00A837C3" w:rsidP="00A837C3">
                      <w:pPr>
                        <w:rPr>
                          <w:lang w:val="fr-FR"/>
                        </w:rPr>
                      </w:pPr>
                    </w:p>
                  </w:txbxContent>
                </v:textbox>
                <w10:wrap type="square"/>
              </v:shape>
            </w:pict>
          </mc:Fallback>
        </mc:AlternateContent>
      </w:r>
    </w:p>
    <w:p w:rsidR="008A7F7D" w:rsidRPr="0075648A" w:rsidRDefault="008A7F7D">
      <w:pPr>
        <w:rPr>
          <w:b/>
          <w:color w:val="538135" w:themeColor="accent6" w:themeShade="BF"/>
          <w:sz w:val="28"/>
          <w:szCs w:val="28"/>
        </w:rPr>
      </w:pPr>
      <w:r w:rsidRPr="0075648A">
        <w:rPr>
          <w:b/>
          <w:color w:val="538135" w:themeColor="accent6" w:themeShade="BF"/>
          <w:sz w:val="28"/>
          <w:szCs w:val="28"/>
        </w:rPr>
        <w:t xml:space="preserve">Analysis and Targets: </w:t>
      </w:r>
    </w:p>
    <w:p w:rsidR="005C034C" w:rsidRPr="00E96BF1" w:rsidRDefault="00E965B2">
      <w:pPr>
        <w:rPr>
          <w:u w:val="single"/>
        </w:rPr>
      </w:pPr>
      <w:r w:rsidRPr="00E96BF1">
        <w:rPr>
          <w:u w:val="single"/>
        </w:rPr>
        <w:t>The 2011 and 2016 Vermont Comprehensive Energy Plan (CEP) describe how Vermont aims to reduce reliance on fossil fuels and secure energy independence by improving energy efficiency</w:t>
      </w:r>
      <w:r w:rsidR="00E96BF1" w:rsidRPr="00E96BF1">
        <w:rPr>
          <w:u w:val="single"/>
        </w:rPr>
        <w:t xml:space="preserve"> and conservation</w:t>
      </w:r>
      <w:r w:rsidRPr="00E96BF1">
        <w:rPr>
          <w:u w:val="single"/>
        </w:rPr>
        <w:t xml:space="preserve"> and utilizing in-state renewable energy resources</w:t>
      </w:r>
      <w:r w:rsidR="008A7F7D" w:rsidRPr="00E96BF1">
        <w:rPr>
          <w:u w:val="single"/>
        </w:rPr>
        <w:t xml:space="preserve">. </w:t>
      </w:r>
      <w:r w:rsidRPr="00E96BF1">
        <w:rPr>
          <w:u w:val="single"/>
        </w:rPr>
        <w:t xml:space="preserve">The CEP </w:t>
      </w:r>
      <w:r w:rsidR="005C034C" w:rsidRPr="00E96BF1">
        <w:rPr>
          <w:u w:val="single"/>
        </w:rPr>
        <w:t xml:space="preserve">addresses the state’s energy future for electricity, thermal energy, transportation and land use by setting a long-term statewide goal of obtaining 90% of Vermont’s energy needs from renewable sources by 2050.  Expanding on the statutory goal of 25% </w:t>
      </w:r>
      <w:r w:rsidR="005C034C" w:rsidRPr="00E96BF1">
        <w:rPr>
          <w:u w:val="single"/>
        </w:rPr>
        <w:lastRenderedPageBreak/>
        <w:t>renewable energy by 2025 (10 V.S.A. § 580(a)), the CEP established the following set of goals:</w:t>
      </w:r>
    </w:p>
    <w:p w:rsidR="005C034C" w:rsidRPr="00E96BF1" w:rsidRDefault="005C034C" w:rsidP="005C034C">
      <w:pPr>
        <w:pStyle w:val="ListParagraph"/>
        <w:numPr>
          <w:ilvl w:val="0"/>
          <w:numId w:val="9"/>
        </w:numPr>
        <w:rPr>
          <w:rFonts w:asciiTheme="minorHAnsi" w:eastAsiaTheme="minorHAnsi" w:hAnsiTheme="minorHAnsi" w:cstheme="minorBidi"/>
          <w:sz w:val="22"/>
          <w:szCs w:val="22"/>
          <w:u w:val="single"/>
        </w:rPr>
      </w:pPr>
      <w:r w:rsidRPr="00E96BF1">
        <w:rPr>
          <w:rFonts w:asciiTheme="minorHAnsi" w:eastAsiaTheme="minorHAnsi" w:hAnsiTheme="minorHAnsi" w:cstheme="minorBidi"/>
          <w:sz w:val="22"/>
          <w:szCs w:val="22"/>
          <w:u w:val="single"/>
        </w:rPr>
        <w:t>Reduce total energy consumption per capita by 15% by 2025, and by more than one third by 2050</w:t>
      </w:r>
    </w:p>
    <w:p w:rsidR="005C034C" w:rsidRPr="00E96BF1" w:rsidRDefault="005C034C" w:rsidP="005C034C">
      <w:pPr>
        <w:pStyle w:val="ListParagraph"/>
        <w:numPr>
          <w:ilvl w:val="0"/>
          <w:numId w:val="9"/>
        </w:numPr>
        <w:rPr>
          <w:rFonts w:asciiTheme="minorHAnsi" w:eastAsiaTheme="minorHAnsi" w:hAnsiTheme="minorHAnsi" w:cstheme="minorBidi"/>
          <w:sz w:val="22"/>
          <w:szCs w:val="22"/>
          <w:u w:val="single"/>
        </w:rPr>
      </w:pPr>
      <w:r w:rsidRPr="00E96BF1">
        <w:rPr>
          <w:rFonts w:asciiTheme="minorHAnsi" w:eastAsiaTheme="minorHAnsi" w:hAnsiTheme="minorHAnsi" w:cstheme="minorBidi"/>
          <w:sz w:val="22"/>
          <w:szCs w:val="22"/>
          <w:u w:val="single"/>
        </w:rPr>
        <w:t>Meet 25% of the remaining energy need from renewable sources by 2025, 40% by 2035, and 90% by 2050</w:t>
      </w:r>
    </w:p>
    <w:p w:rsidR="005C034C" w:rsidRPr="00E96BF1" w:rsidRDefault="005C034C" w:rsidP="005C034C">
      <w:pPr>
        <w:pStyle w:val="ListParagraph"/>
        <w:numPr>
          <w:ilvl w:val="0"/>
          <w:numId w:val="9"/>
        </w:numPr>
        <w:rPr>
          <w:rFonts w:asciiTheme="minorHAnsi" w:eastAsiaTheme="minorHAnsi" w:hAnsiTheme="minorHAnsi" w:cstheme="minorBidi"/>
          <w:sz w:val="22"/>
          <w:szCs w:val="22"/>
          <w:u w:val="single"/>
        </w:rPr>
      </w:pPr>
      <w:r w:rsidRPr="00E96BF1">
        <w:rPr>
          <w:rFonts w:asciiTheme="minorHAnsi" w:eastAsiaTheme="minorHAnsi" w:hAnsiTheme="minorHAnsi" w:cstheme="minorBidi"/>
          <w:sz w:val="22"/>
          <w:szCs w:val="22"/>
          <w:u w:val="single"/>
        </w:rPr>
        <w:t>Three end-use sector goals for 2025: 10% renewable transportation, 30% renewable buildings, and 67% renewable electric power</w:t>
      </w:r>
    </w:p>
    <w:p w:rsidR="005C034C" w:rsidRPr="00E96BF1" w:rsidRDefault="005C034C" w:rsidP="00E96BF1">
      <w:pPr>
        <w:pStyle w:val="ListParagraph"/>
        <w:ind w:left="825"/>
        <w:rPr>
          <w:rFonts w:asciiTheme="minorHAnsi" w:eastAsiaTheme="minorHAnsi" w:hAnsiTheme="minorHAnsi" w:cstheme="minorBidi"/>
          <w:sz w:val="22"/>
          <w:szCs w:val="22"/>
          <w:u w:val="single"/>
        </w:rPr>
      </w:pPr>
    </w:p>
    <w:p w:rsidR="00DA13B6" w:rsidRPr="00E96BF1" w:rsidRDefault="008A7F7D" w:rsidP="005C034C">
      <w:pPr>
        <w:rPr>
          <w:u w:val="single"/>
        </w:rPr>
      </w:pPr>
      <w:r w:rsidRPr="00E96BF1">
        <w:rPr>
          <w:u w:val="single"/>
        </w:rPr>
        <w:t>The primary purpose of</w:t>
      </w:r>
      <w:r w:rsidR="00AC764E" w:rsidRPr="00E96BF1">
        <w:rPr>
          <w:u w:val="single"/>
        </w:rPr>
        <w:t xml:space="preserve"> the analysis and targets</w:t>
      </w:r>
      <w:r w:rsidRPr="00E96BF1">
        <w:rPr>
          <w:u w:val="single"/>
        </w:rPr>
        <w:t xml:space="preserve"> section is to provide a framework</w:t>
      </w:r>
      <w:r w:rsidR="00AC764E" w:rsidRPr="00E96BF1">
        <w:rPr>
          <w:u w:val="single"/>
        </w:rPr>
        <w:t xml:space="preserve"> of tracking progress</w:t>
      </w:r>
      <w:r w:rsidRPr="00E96BF1">
        <w:rPr>
          <w:u w:val="single"/>
        </w:rPr>
        <w:t xml:space="preserve"> to support local pathways towards meeting </w:t>
      </w:r>
      <w:r w:rsidR="00E96BF1" w:rsidRPr="00E96BF1">
        <w:rPr>
          <w:u w:val="single"/>
        </w:rPr>
        <w:t xml:space="preserve">these </w:t>
      </w:r>
      <w:r w:rsidRPr="00E96BF1">
        <w:rPr>
          <w:u w:val="single"/>
        </w:rPr>
        <w:t xml:space="preserve">statewide goals </w:t>
      </w:r>
      <w:r w:rsidR="00E96BF1" w:rsidRPr="00E96BF1">
        <w:rPr>
          <w:u w:val="single"/>
        </w:rPr>
        <w:t>outlin</w:t>
      </w:r>
      <w:r w:rsidRPr="00E96BF1">
        <w:rPr>
          <w:u w:val="single"/>
        </w:rPr>
        <w:t>ed in the C</w:t>
      </w:r>
      <w:r w:rsidR="00E965B2" w:rsidRPr="00E96BF1">
        <w:rPr>
          <w:u w:val="single"/>
        </w:rPr>
        <w:t>EP</w:t>
      </w:r>
      <w:r w:rsidRPr="00E96BF1">
        <w:rPr>
          <w:u w:val="single"/>
        </w:rPr>
        <w:t>.</w:t>
      </w:r>
    </w:p>
    <w:p w:rsidR="008A7F7D" w:rsidRPr="00305D4F" w:rsidRDefault="008A7F7D">
      <w:pPr>
        <w:rPr>
          <w:b/>
          <w:sz w:val="28"/>
          <w:szCs w:val="28"/>
        </w:rPr>
      </w:pPr>
      <w:r w:rsidRPr="00305D4F">
        <w:rPr>
          <w:b/>
          <w:color w:val="538135" w:themeColor="accent6" w:themeShade="BF"/>
          <w:sz w:val="28"/>
          <w:szCs w:val="28"/>
        </w:rPr>
        <w:t>Transportation</w:t>
      </w:r>
      <w:r w:rsidRPr="00305D4F">
        <w:rPr>
          <w:b/>
          <w:sz w:val="28"/>
          <w:szCs w:val="28"/>
        </w:rPr>
        <w:t xml:space="preserve"> </w:t>
      </w:r>
    </w:p>
    <w:p w:rsidR="00391EFD" w:rsidRDefault="00E96BF1" w:rsidP="00391EFD">
      <w:r w:rsidRPr="00E96BF1">
        <w:rPr>
          <w:u w:val="single"/>
        </w:rPr>
        <w:t>Transportation consumes the largest share of energy in Vermont, as seen in the chart below.  Similarly, transportation in Bradford is responsible for a large share of overall energy consumption.</w:t>
      </w:r>
      <w:r>
        <w:t xml:space="preserve">  </w:t>
      </w:r>
      <w:r w:rsidR="00391EFD">
        <w:t xml:space="preserve">The rural character and decentralized settlement patterns of Bradford create difficult circumstances in which to minimize the consumption of traditional </w:t>
      </w:r>
      <w:r>
        <w:t xml:space="preserve">transportation </w:t>
      </w:r>
      <w:r w:rsidR="00391EFD">
        <w:t>fuels. Nevertheless, strategies can be employed at the Bradford Town level.</w:t>
      </w:r>
      <w:r w:rsidRPr="00E96BF1">
        <w:t xml:space="preserve"> </w:t>
      </w:r>
      <w:r>
        <w:rPr>
          <w:noProof/>
        </w:rPr>
        <w:drawing>
          <wp:inline distT="0" distB="0" distL="0" distR="0">
            <wp:extent cx="5829300" cy="3886200"/>
            <wp:effectExtent l="19050" t="19050" r="19050"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3886200"/>
                    </a:xfrm>
                    <a:prstGeom prst="rect">
                      <a:avLst/>
                    </a:prstGeom>
                    <a:noFill/>
                    <a:ln w="6350" cmpd="sng">
                      <a:solidFill>
                        <a:srgbClr val="000000"/>
                      </a:solidFill>
                      <a:miter lim="800000"/>
                      <a:headEnd/>
                      <a:tailEnd/>
                    </a:ln>
                    <a:effectLst/>
                  </pic:spPr>
                </pic:pic>
              </a:graphicData>
            </a:graphic>
          </wp:inline>
        </w:drawing>
      </w:r>
    </w:p>
    <w:p w:rsidR="00391EFD" w:rsidRDefault="00391EFD" w:rsidP="003A67B7">
      <w:pPr>
        <w:spacing w:after="0" w:line="240" w:lineRule="auto"/>
      </w:pPr>
      <w:r>
        <w:t xml:space="preserve">Bradford should continue to plan for and promote alternative and public transportation options.  Improved access to, and increased use of, alternative and public transportation options such as rail, bus, river, van-pooling, ride-sharing, electric vehicles, walking, and bicycling, will not only decrease energy consumption, but will also reduce infrastructure expenditures associated with automobile travel.  Bradford is fortunate to have access to existing rail lines, some bus service, and the Connecticut River.  </w:t>
      </w:r>
    </w:p>
    <w:p w:rsidR="00391EFD" w:rsidRDefault="00391EFD" w:rsidP="003A67B7">
      <w:pPr>
        <w:spacing w:after="0" w:line="240" w:lineRule="auto"/>
      </w:pPr>
    </w:p>
    <w:p w:rsidR="00391EFD" w:rsidRDefault="00391EFD" w:rsidP="00391EFD">
      <w:pPr>
        <w:rPr>
          <w:u w:val="single"/>
        </w:rPr>
      </w:pPr>
      <w:r>
        <w:t>Another strategy to reduce the demand for transportation is to develop settlement patterns that require less travel. Concentrated settlement makes it more feasible to provide public transit, park and ride facilities, ride-share programs and similar incentives that reduce dependency on the automobile.   Because transportation is such a substantial portion of local energy use, it is in the interest of the community to encourage any new developments that are proposed in Bradford to be located adjacent to existing roads.  In particular, dense residential developments should be located within or adjacent to existing village centers or within designated growth areas.  Commercial development that requires trucking and freight handling should only be located on roads which can effectively handle the size of vehicle needed.</w:t>
      </w:r>
      <w:r>
        <w:rPr>
          <w:u w:val="single"/>
        </w:rPr>
        <w:t xml:space="preserve">  </w:t>
      </w:r>
    </w:p>
    <w:p w:rsidR="00391EFD" w:rsidRPr="00861599" w:rsidRDefault="00391EFD" w:rsidP="00391EFD">
      <w:pPr>
        <w:rPr>
          <w:strike/>
        </w:rPr>
      </w:pPr>
      <w:r>
        <w:t xml:space="preserve">The I-91 Park and Ride lot should be monitored as necessary to accommodate increased use of car pool, bus, </w:t>
      </w:r>
      <w:r w:rsidRPr="00391EFD">
        <w:rPr>
          <w:u w:val="single"/>
        </w:rPr>
        <w:t>electric vehicles</w:t>
      </w:r>
      <w:r>
        <w:t xml:space="preserve">, and non-motorized transport in order to accommodate all who seek to use it. Additional commuter transit including rail needs to be developed. The concentration of employment opportunities, housing, municipal and social services, the expansion of telecommunication capacity, and the increased use of local informational handouts will help to achieve this objective. </w:t>
      </w:r>
      <w:r w:rsidRPr="00861599">
        <w:rPr>
          <w:strike/>
        </w:rPr>
        <w:t>The expansion of the Park and Ride should enable further increase in its use.</w:t>
      </w:r>
    </w:p>
    <w:p w:rsidR="00391EFD" w:rsidRPr="00E96BF1" w:rsidRDefault="00391EFD" w:rsidP="00E96BF1">
      <w:pPr>
        <w:rPr>
          <w:u w:val="single"/>
        </w:rPr>
      </w:pPr>
      <w:r>
        <w:t>Bradford should continue to research and determine how to reduce municipal use of fossil fuels for its operations, including the highway and police departments, in order to produce a net energy savings. Bradford should develop a policy requiring that new Town highway vehicle purchases begin with a comparison of the costs of fuel required for the vehicles being contemplated, calculated over the life of the vehicle</w:t>
      </w:r>
    </w:p>
    <w:p w:rsidR="004A5130" w:rsidRPr="00FA796D" w:rsidRDefault="004A5130" w:rsidP="003A67B7">
      <w:pPr>
        <w:spacing w:after="0" w:line="240" w:lineRule="auto"/>
        <w:rPr>
          <w:u w:val="single"/>
        </w:rPr>
      </w:pPr>
      <w:r w:rsidRPr="00FA796D">
        <w:rPr>
          <w:u w:val="single"/>
        </w:rPr>
        <w:t>Table A uses data from the American Community Survey (ACS) and Vermont Agency of Transportation (</w:t>
      </w:r>
      <w:proofErr w:type="spellStart"/>
      <w:r w:rsidRPr="00FA796D">
        <w:rPr>
          <w:u w:val="single"/>
        </w:rPr>
        <w:t>VTrans</w:t>
      </w:r>
      <w:proofErr w:type="spellEnd"/>
      <w:r w:rsidRPr="00FA796D">
        <w:rPr>
          <w:u w:val="single"/>
        </w:rPr>
        <w:t xml:space="preserve">) to calculate current transportation energy use and energy costs. </w:t>
      </w:r>
      <w:r w:rsidR="00305D4F" w:rsidRPr="00FA796D">
        <w:rPr>
          <w:u w:val="single"/>
        </w:rPr>
        <w:t>The rural nature of this region leads to longer commutes for work, shopping and services. This impacts the number of vehicle miles traveled which directly relates to how much fossil fuel is being burned to power all the cars in the region. The transportation sector is responsible for 37% of the total energy consumed in Vermont, powered mostly from gasoline (76%) and diesel</w:t>
      </w:r>
      <w:r w:rsidR="003A67B7" w:rsidRPr="00FA796D">
        <w:rPr>
          <w:u w:val="single"/>
        </w:rPr>
        <w:t xml:space="preserve"> </w:t>
      </w:r>
      <w:r w:rsidR="00305D4F" w:rsidRPr="00FA796D">
        <w:rPr>
          <w:u w:val="single"/>
        </w:rPr>
        <w:t xml:space="preserve">(20%). </w:t>
      </w:r>
    </w:p>
    <w:p w:rsidR="003A67B7" w:rsidRDefault="003A67B7" w:rsidP="003A67B7">
      <w:pPr>
        <w:spacing w:after="0" w:line="240" w:lineRule="auto"/>
        <w:rPr>
          <w:sz w:val="28"/>
          <w:szCs w:val="28"/>
        </w:rPr>
      </w:pPr>
    </w:p>
    <w:tbl>
      <w:tblPr>
        <w:tblStyle w:val="TableGrid"/>
        <w:tblW w:w="0" w:type="auto"/>
        <w:jc w:val="center"/>
        <w:tblLook w:val="04A0" w:firstRow="1" w:lastRow="0" w:firstColumn="1" w:lastColumn="0" w:noHBand="0" w:noVBand="1"/>
      </w:tblPr>
      <w:tblGrid>
        <w:gridCol w:w="5038"/>
        <w:gridCol w:w="1602"/>
      </w:tblGrid>
      <w:tr w:rsidR="008A7F7D" w:rsidRPr="008A7F7D" w:rsidTr="003A67B7">
        <w:trPr>
          <w:trHeight w:val="300"/>
          <w:jc w:val="center"/>
        </w:trPr>
        <w:tc>
          <w:tcPr>
            <w:tcW w:w="6640" w:type="dxa"/>
            <w:gridSpan w:val="2"/>
            <w:shd w:val="clear" w:color="auto" w:fill="E2EFD9" w:themeFill="accent6" w:themeFillTint="33"/>
            <w:noWrap/>
            <w:hideMark/>
          </w:tcPr>
          <w:p w:rsidR="008A7F7D" w:rsidRPr="008A7F7D" w:rsidRDefault="004A5130" w:rsidP="003A67B7">
            <w:pPr>
              <w:rPr>
                <w:b/>
                <w:bCs/>
                <w:sz w:val="24"/>
                <w:szCs w:val="24"/>
              </w:rPr>
            </w:pPr>
            <w:r>
              <w:rPr>
                <w:b/>
                <w:bCs/>
                <w:sz w:val="24"/>
                <w:szCs w:val="24"/>
              </w:rPr>
              <w:t>A</w:t>
            </w:r>
            <w:r w:rsidR="008A7F7D">
              <w:rPr>
                <w:b/>
                <w:bCs/>
                <w:sz w:val="24"/>
                <w:szCs w:val="24"/>
              </w:rPr>
              <w:t xml:space="preserve">. Current </w:t>
            </w:r>
            <w:r w:rsidR="008A7F7D" w:rsidRPr="008A7F7D">
              <w:rPr>
                <w:b/>
                <w:bCs/>
                <w:sz w:val="24"/>
                <w:szCs w:val="24"/>
              </w:rPr>
              <w:t>Transportation Energy Use</w:t>
            </w:r>
          </w:p>
        </w:tc>
      </w:tr>
      <w:tr w:rsidR="008A7F7D" w:rsidRPr="008A7F7D" w:rsidTr="003A67B7">
        <w:trPr>
          <w:trHeight w:val="300"/>
          <w:jc w:val="center"/>
        </w:trPr>
        <w:tc>
          <w:tcPr>
            <w:tcW w:w="5038" w:type="dxa"/>
            <w:shd w:val="clear" w:color="auto" w:fill="E2EFD9" w:themeFill="accent6" w:themeFillTint="33"/>
            <w:noWrap/>
            <w:hideMark/>
          </w:tcPr>
          <w:p w:rsidR="008A7F7D" w:rsidRPr="008A7F7D" w:rsidRDefault="008A7F7D" w:rsidP="003A67B7">
            <w:pPr>
              <w:rPr>
                <w:b/>
                <w:bCs/>
                <w:sz w:val="24"/>
                <w:szCs w:val="24"/>
              </w:rPr>
            </w:pPr>
            <w:r w:rsidRPr="008A7F7D">
              <w:rPr>
                <w:b/>
                <w:bCs/>
                <w:sz w:val="24"/>
                <w:szCs w:val="24"/>
              </w:rPr>
              <w:t>Transportation Data</w:t>
            </w:r>
          </w:p>
        </w:tc>
        <w:tc>
          <w:tcPr>
            <w:tcW w:w="1602" w:type="dxa"/>
            <w:shd w:val="clear" w:color="auto" w:fill="E2EFD9" w:themeFill="accent6" w:themeFillTint="33"/>
            <w:noWrap/>
            <w:hideMark/>
          </w:tcPr>
          <w:p w:rsidR="008A7F7D" w:rsidRPr="008A7F7D" w:rsidRDefault="008A7F7D" w:rsidP="003A67B7">
            <w:pPr>
              <w:rPr>
                <w:b/>
                <w:bCs/>
                <w:sz w:val="24"/>
                <w:szCs w:val="24"/>
              </w:rPr>
            </w:pPr>
            <w:r w:rsidRPr="008A7F7D">
              <w:rPr>
                <w:b/>
                <w:bCs/>
                <w:sz w:val="24"/>
                <w:szCs w:val="24"/>
              </w:rPr>
              <w:t>Municipal Data</w:t>
            </w:r>
          </w:p>
        </w:tc>
      </w:tr>
      <w:tr w:rsidR="008A7F7D" w:rsidRPr="008A7F7D" w:rsidTr="003A67B7">
        <w:trPr>
          <w:trHeight w:val="300"/>
          <w:jc w:val="center"/>
        </w:trPr>
        <w:tc>
          <w:tcPr>
            <w:tcW w:w="5038" w:type="dxa"/>
            <w:noWrap/>
            <w:hideMark/>
          </w:tcPr>
          <w:p w:rsidR="008A7F7D" w:rsidRPr="008A7F7D" w:rsidRDefault="008A7F7D" w:rsidP="003A67B7">
            <w:pPr>
              <w:rPr>
                <w:sz w:val="24"/>
                <w:szCs w:val="24"/>
              </w:rPr>
            </w:pPr>
            <w:r w:rsidRPr="008A7F7D">
              <w:rPr>
                <w:sz w:val="24"/>
                <w:szCs w:val="24"/>
              </w:rPr>
              <w:t>Total # of Vehicles (ACS 2011-2015)</w:t>
            </w:r>
          </w:p>
        </w:tc>
        <w:tc>
          <w:tcPr>
            <w:tcW w:w="1602" w:type="dxa"/>
            <w:noWrap/>
            <w:hideMark/>
          </w:tcPr>
          <w:p w:rsidR="008A7F7D" w:rsidRPr="008A7F7D" w:rsidRDefault="007B5A59" w:rsidP="003A67B7">
            <w:pPr>
              <w:rPr>
                <w:sz w:val="24"/>
                <w:szCs w:val="24"/>
              </w:rPr>
            </w:pPr>
            <w:r>
              <w:rPr>
                <w:sz w:val="24"/>
                <w:szCs w:val="24"/>
              </w:rPr>
              <w:t>1,672</w:t>
            </w:r>
          </w:p>
        </w:tc>
      </w:tr>
      <w:tr w:rsidR="008A7F7D" w:rsidRPr="008A7F7D" w:rsidTr="003A67B7">
        <w:trPr>
          <w:trHeight w:val="300"/>
          <w:jc w:val="center"/>
        </w:trPr>
        <w:tc>
          <w:tcPr>
            <w:tcW w:w="5038" w:type="dxa"/>
            <w:noWrap/>
            <w:hideMark/>
          </w:tcPr>
          <w:p w:rsidR="008A7F7D" w:rsidRPr="008A7F7D" w:rsidRDefault="008A7F7D" w:rsidP="003A67B7">
            <w:pPr>
              <w:rPr>
                <w:sz w:val="24"/>
                <w:szCs w:val="24"/>
              </w:rPr>
            </w:pPr>
            <w:r w:rsidRPr="008A7F7D">
              <w:rPr>
                <w:sz w:val="24"/>
                <w:szCs w:val="24"/>
              </w:rPr>
              <w:t>Average Miles per Vehicle (</w:t>
            </w:r>
            <w:proofErr w:type="spellStart"/>
            <w:r w:rsidRPr="008A7F7D">
              <w:rPr>
                <w:sz w:val="24"/>
                <w:szCs w:val="24"/>
              </w:rPr>
              <w:t>Vtrans</w:t>
            </w:r>
            <w:proofErr w:type="spellEnd"/>
            <w:r w:rsidRPr="008A7F7D">
              <w:rPr>
                <w:sz w:val="24"/>
                <w:szCs w:val="24"/>
              </w:rPr>
              <w:t>)</w:t>
            </w:r>
          </w:p>
        </w:tc>
        <w:tc>
          <w:tcPr>
            <w:tcW w:w="1602" w:type="dxa"/>
            <w:noWrap/>
            <w:hideMark/>
          </w:tcPr>
          <w:p w:rsidR="008A7F7D" w:rsidRPr="008A7F7D" w:rsidRDefault="008A7F7D" w:rsidP="003A67B7">
            <w:pPr>
              <w:rPr>
                <w:sz w:val="24"/>
                <w:szCs w:val="24"/>
              </w:rPr>
            </w:pPr>
            <w:r w:rsidRPr="008A7F7D">
              <w:rPr>
                <w:sz w:val="24"/>
                <w:szCs w:val="24"/>
              </w:rPr>
              <w:t>11,356</w:t>
            </w:r>
          </w:p>
        </w:tc>
      </w:tr>
      <w:tr w:rsidR="008A7F7D" w:rsidRPr="008A7F7D" w:rsidTr="003A67B7">
        <w:trPr>
          <w:trHeight w:val="300"/>
          <w:jc w:val="center"/>
        </w:trPr>
        <w:tc>
          <w:tcPr>
            <w:tcW w:w="5038" w:type="dxa"/>
            <w:noWrap/>
            <w:hideMark/>
          </w:tcPr>
          <w:p w:rsidR="008A7F7D" w:rsidRPr="008A7F7D" w:rsidRDefault="008A7F7D" w:rsidP="003A67B7">
            <w:pPr>
              <w:rPr>
                <w:sz w:val="24"/>
                <w:szCs w:val="24"/>
              </w:rPr>
            </w:pPr>
            <w:r w:rsidRPr="008A7F7D">
              <w:rPr>
                <w:sz w:val="24"/>
                <w:szCs w:val="24"/>
              </w:rPr>
              <w:t>Total Miles Traveled</w:t>
            </w:r>
          </w:p>
        </w:tc>
        <w:tc>
          <w:tcPr>
            <w:tcW w:w="1602" w:type="dxa"/>
            <w:noWrap/>
            <w:hideMark/>
          </w:tcPr>
          <w:p w:rsidR="008A7F7D" w:rsidRPr="008A7F7D" w:rsidRDefault="007B5A59" w:rsidP="003A67B7">
            <w:pPr>
              <w:rPr>
                <w:sz w:val="24"/>
                <w:szCs w:val="24"/>
              </w:rPr>
            </w:pPr>
            <w:r>
              <w:rPr>
                <w:sz w:val="24"/>
                <w:szCs w:val="24"/>
              </w:rPr>
              <w:t>18,987,232</w:t>
            </w:r>
          </w:p>
        </w:tc>
      </w:tr>
      <w:tr w:rsidR="008A7F7D" w:rsidRPr="008A7F7D" w:rsidTr="003A67B7">
        <w:trPr>
          <w:trHeight w:val="300"/>
          <w:jc w:val="center"/>
        </w:trPr>
        <w:tc>
          <w:tcPr>
            <w:tcW w:w="5038" w:type="dxa"/>
            <w:noWrap/>
            <w:hideMark/>
          </w:tcPr>
          <w:p w:rsidR="008A7F7D" w:rsidRPr="008A7F7D" w:rsidRDefault="008A7F7D" w:rsidP="003A67B7">
            <w:pPr>
              <w:rPr>
                <w:sz w:val="24"/>
                <w:szCs w:val="24"/>
              </w:rPr>
            </w:pPr>
            <w:r w:rsidRPr="008A7F7D">
              <w:rPr>
                <w:sz w:val="24"/>
                <w:szCs w:val="24"/>
              </w:rPr>
              <w:t xml:space="preserve">Realized MPG (2013 - </w:t>
            </w:r>
            <w:proofErr w:type="spellStart"/>
            <w:r w:rsidRPr="008A7F7D">
              <w:rPr>
                <w:sz w:val="24"/>
                <w:szCs w:val="24"/>
              </w:rPr>
              <w:t>VTrans</w:t>
            </w:r>
            <w:proofErr w:type="spellEnd"/>
            <w:r w:rsidRPr="008A7F7D">
              <w:rPr>
                <w:sz w:val="24"/>
                <w:szCs w:val="24"/>
              </w:rPr>
              <w:t xml:space="preserve"> 2015 Energy Profile)</w:t>
            </w:r>
          </w:p>
        </w:tc>
        <w:tc>
          <w:tcPr>
            <w:tcW w:w="1602" w:type="dxa"/>
            <w:noWrap/>
            <w:hideMark/>
          </w:tcPr>
          <w:p w:rsidR="008A7F7D" w:rsidRPr="008A7F7D" w:rsidRDefault="008A7F7D" w:rsidP="003A67B7">
            <w:pPr>
              <w:rPr>
                <w:sz w:val="24"/>
                <w:szCs w:val="24"/>
              </w:rPr>
            </w:pPr>
            <w:r w:rsidRPr="008A7F7D">
              <w:rPr>
                <w:sz w:val="24"/>
                <w:szCs w:val="24"/>
              </w:rPr>
              <w:t>18.6</w:t>
            </w:r>
          </w:p>
        </w:tc>
      </w:tr>
      <w:tr w:rsidR="008A7F7D" w:rsidRPr="008A7F7D" w:rsidTr="003A67B7">
        <w:trPr>
          <w:trHeight w:val="300"/>
          <w:jc w:val="center"/>
        </w:trPr>
        <w:tc>
          <w:tcPr>
            <w:tcW w:w="5038" w:type="dxa"/>
            <w:noWrap/>
            <w:hideMark/>
          </w:tcPr>
          <w:p w:rsidR="008A7F7D" w:rsidRPr="008A7F7D" w:rsidRDefault="008A7F7D" w:rsidP="003A67B7">
            <w:pPr>
              <w:rPr>
                <w:b/>
                <w:bCs/>
                <w:sz w:val="24"/>
                <w:szCs w:val="24"/>
              </w:rPr>
            </w:pPr>
            <w:r w:rsidRPr="008A7F7D">
              <w:rPr>
                <w:b/>
                <w:bCs/>
                <w:sz w:val="24"/>
                <w:szCs w:val="24"/>
              </w:rPr>
              <w:t>Total Gallons Use per Year</w:t>
            </w:r>
          </w:p>
        </w:tc>
        <w:tc>
          <w:tcPr>
            <w:tcW w:w="1602" w:type="dxa"/>
            <w:noWrap/>
            <w:hideMark/>
          </w:tcPr>
          <w:p w:rsidR="008A7F7D" w:rsidRPr="008A7F7D" w:rsidRDefault="007B5A59" w:rsidP="003A67B7">
            <w:pPr>
              <w:rPr>
                <w:sz w:val="24"/>
                <w:szCs w:val="24"/>
              </w:rPr>
            </w:pPr>
            <w:r>
              <w:rPr>
                <w:sz w:val="24"/>
                <w:szCs w:val="24"/>
              </w:rPr>
              <w:t>1,020,819</w:t>
            </w:r>
          </w:p>
        </w:tc>
      </w:tr>
      <w:tr w:rsidR="008A7F7D" w:rsidRPr="008A7F7D" w:rsidTr="003A67B7">
        <w:trPr>
          <w:trHeight w:val="300"/>
          <w:jc w:val="center"/>
        </w:trPr>
        <w:tc>
          <w:tcPr>
            <w:tcW w:w="5038" w:type="dxa"/>
            <w:noWrap/>
            <w:hideMark/>
          </w:tcPr>
          <w:p w:rsidR="008A7F7D" w:rsidRPr="008A7F7D" w:rsidRDefault="008A7F7D" w:rsidP="003A67B7">
            <w:pPr>
              <w:rPr>
                <w:b/>
                <w:bCs/>
                <w:sz w:val="24"/>
                <w:szCs w:val="24"/>
              </w:rPr>
            </w:pPr>
            <w:r w:rsidRPr="008A7F7D">
              <w:rPr>
                <w:b/>
                <w:bCs/>
                <w:sz w:val="24"/>
                <w:szCs w:val="24"/>
              </w:rPr>
              <w:t>Transportation BTUs (Billion)</w:t>
            </w:r>
          </w:p>
        </w:tc>
        <w:tc>
          <w:tcPr>
            <w:tcW w:w="1602" w:type="dxa"/>
            <w:noWrap/>
            <w:hideMark/>
          </w:tcPr>
          <w:p w:rsidR="008A7F7D" w:rsidRPr="008A7F7D" w:rsidRDefault="007B5A59" w:rsidP="003A67B7">
            <w:pPr>
              <w:rPr>
                <w:sz w:val="24"/>
                <w:szCs w:val="24"/>
              </w:rPr>
            </w:pPr>
            <w:r>
              <w:rPr>
                <w:sz w:val="24"/>
                <w:szCs w:val="24"/>
              </w:rPr>
              <w:t>123</w:t>
            </w:r>
          </w:p>
        </w:tc>
      </w:tr>
      <w:tr w:rsidR="008A7F7D" w:rsidRPr="008A7F7D" w:rsidTr="003A67B7">
        <w:trPr>
          <w:trHeight w:val="300"/>
          <w:jc w:val="center"/>
        </w:trPr>
        <w:tc>
          <w:tcPr>
            <w:tcW w:w="5038" w:type="dxa"/>
            <w:noWrap/>
            <w:hideMark/>
          </w:tcPr>
          <w:p w:rsidR="008A7F7D" w:rsidRPr="008A7F7D" w:rsidRDefault="008A7F7D" w:rsidP="003A67B7">
            <w:pPr>
              <w:rPr>
                <w:sz w:val="24"/>
                <w:szCs w:val="24"/>
              </w:rPr>
            </w:pPr>
            <w:r w:rsidRPr="008A7F7D">
              <w:rPr>
                <w:sz w:val="24"/>
                <w:szCs w:val="24"/>
              </w:rPr>
              <w:t>Average Cost per Gallon of Gasoline (RPC)</w:t>
            </w:r>
          </w:p>
        </w:tc>
        <w:tc>
          <w:tcPr>
            <w:tcW w:w="1602" w:type="dxa"/>
            <w:noWrap/>
            <w:hideMark/>
          </w:tcPr>
          <w:p w:rsidR="008A7F7D" w:rsidRPr="008A7F7D" w:rsidRDefault="008A7F7D" w:rsidP="003A67B7">
            <w:pPr>
              <w:rPr>
                <w:sz w:val="24"/>
                <w:szCs w:val="24"/>
              </w:rPr>
            </w:pPr>
            <w:r w:rsidRPr="008A7F7D">
              <w:rPr>
                <w:sz w:val="24"/>
                <w:szCs w:val="24"/>
              </w:rPr>
              <w:t>2</w:t>
            </w:r>
          </w:p>
        </w:tc>
      </w:tr>
      <w:tr w:rsidR="008A7F7D" w:rsidRPr="008A7F7D" w:rsidTr="003A67B7">
        <w:trPr>
          <w:trHeight w:val="300"/>
          <w:jc w:val="center"/>
        </w:trPr>
        <w:tc>
          <w:tcPr>
            <w:tcW w:w="5038" w:type="dxa"/>
            <w:noWrap/>
            <w:hideMark/>
          </w:tcPr>
          <w:p w:rsidR="008A7F7D" w:rsidRPr="008A7F7D" w:rsidRDefault="008A7F7D" w:rsidP="003A67B7">
            <w:pPr>
              <w:rPr>
                <w:b/>
                <w:bCs/>
                <w:sz w:val="24"/>
                <w:szCs w:val="24"/>
              </w:rPr>
            </w:pPr>
            <w:r w:rsidRPr="008A7F7D">
              <w:rPr>
                <w:b/>
                <w:bCs/>
                <w:sz w:val="24"/>
                <w:szCs w:val="24"/>
              </w:rPr>
              <w:t>Gasoline Cost per Year</w:t>
            </w:r>
          </w:p>
        </w:tc>
        <w:tc>
          <w:tcPr>
            <w:tcW w:w="1602" w:type="dxa"/>
            <w:noWrap/>
            <w:hideMark/>
          </w:tcPr>
          <w:p w:rsidR="008A7F7D" w:rsidRPr="008A7F7D" w:rsidRDefault="007B5A59" w:rsidP="003A67B7">
            <w:pPr>
              <w:rPr>
                <w:sz w:val="24"/>
                <w:szCs w:val="24"/>
              </w:rPr>
            </w:pPr>
            <w:r>
              <w:rPr>
                <w:sz w:val="24"/>
                <w:szCs w:val="24"/>
              </w:rPr>
              <w:t>2,358,092</w:t>
            </w:r>
          </w:p>
        </w:tc>
      </w:tr>
    </w:tbl>
    <w:p w:rsidR="008A7F7D" w:rsidRDefault="008A7F7D">
      <w:pPr>
        <w:rPr>
          <w:sz w:val="28"/>
          <w:szCs w:val="28"/>
        </w:rPr>
      </w:pPr>
    </w:p>
    <w:p w:rsidR="00E104E0" w:rsidRPr="00FA796D" w:rsidRDefault="00E104E0" w:rsidP="00EE29E1">
      <w:pPr>
        <w:tabs>
          <w:tab w:val="left" w:pos="1155"/>
        </w:tabs>
        <w:rPr>
          <w:u w:val="single"/>
        </w:rPr>
      </w:pPr>
      <w:r w:rsidRPr="00FA796D">
        <w:rPr>
          <w:u w:val="single"/>
        </w:rPr>
        <w:lastRenderedPageBreak/>
        <w:t>Table B establishes targets for</w:t>
      </w:r>
      <w:r w:rsidR="00AC764E" w:rsidRPr="00FA796D">
        <w:rPr>
          <w:u w:val="single"/>
        </w:rPr>
        <w:t xml:space="preserve"> transpo</w:t>
      </w:r>
      <w:r w:rsidR="00715C0A" w:rsidRPr="00FA796D">
        <w:rPr>
          <w:u w:val="single"/>
        </w:rPr>
        <w:t>rtation fuel and mode switching</w:t>
      </w:r>
      <w:r w:rsidR="00356C45" w:rsidRPr="00FA796D">
        <w:rPr>
          <w:u w:val="single"/>
        </w:rPr>
        <w:t>.</w:t>
      </w:r>
      <w:r w:rsidRPr="00FA796D">
        <w:rPr>
          <w:u w:val="single"/>
        </w:rPr>
        <w:t xml:space="preserve"> To reach local, regional and statewide renewable energy goals, residents will need to shift away from petroleum powered vehicl</w:t>
      </w:r>
      <w:r w:rsidR="00222F82" w:rsidRPr="00FA796D">
        <w:rPr>
          <w:u w:val="single"/>
        </w:rPr>
        <w:t xml:space="preserve">es to electricity and biofuels as well switch the modes in which one travels through carpooling, public transit, or walking. </w:t>
      </w:r>
    </w:p>
    <w:p w:rsidR="003A67B7" w:rsidRPr="00FA796D" w:rsidRDefault="003A67B7" w:rsidP="003A67B7">
      <w:pPr>
        <w:rPr>
          <w:u w:val="single"/>
        </w:rPr>
      </w:pPr>
      <w:r w:rsidRPr="00FA796D">
        <w:rPr>
          <w:u w:val="single"/>
        </w:rPr>
        <w:t xml:space="preserve">There are several sources of information that can provide information on electric vehicles including https://greenercars.org and www.driveelectricvt.com. </w:t>
      </w:r>
    </w:p>
    <w:p w:rsidR="009B06E2" w:rsidRPr="003A67B7" w:rsidRDefault="009B06E2"/>
    <w:tbl>
      <w:tblPr>
        <w:tblStyle w:val="TableGrid"/>
        <w:tblW w:w="0" w:type="auto"/>
        <w:tblLook w:val="04A0" w:firstRow="1" w:lastRow="0" w:firstColumn="1" w:lastColumn="0" w:noHBand="0" w:noVBand="1"/>
      </w:tblPr>
      <w:tblGrid>
        <w:gridCol w:w="4248"/>
        <w:gridCol w:w="1620"/>
        <w:gridCol w:w="990"/>
        <w:gridCol w:w="1260"/>
        <w:gridCol w:w="1232"/>
      </w:tblGrid>
      <w:tr w:rsidR="008A7F7D" w:rsidTr="00D254BE">
        <w:tc>
          <w:tcPr>
            <w:tcW w:w="4248" w:type="dxa"/>
            <w:shd w:val="clear" w:color="auto" w:fill="E2EFD9" w:themeFill="accent6" w:themeFillTint="33"/>
          </w:tcPr>
          <w:p w:rsidR="008A7F7D" w:rsidRPr="008A7F7D" w:rsidRDefault="00305D4F">
            <w:pPr>
              <w:rPr>
                <w:b/>
                <w:sz w:val="24"/>
                <w:szCs w:val="24"/>
              </w:rPr>
            </w:pPr>
            <w:r>
              <w:rPr>
                <w:b/>
                <w:sz w:val="24"/>
                <w:szCs w:val="24"/>
              </w:rPr>
              <w:t xml:space="preserve">B. </w:t>
            </w:r>
            <w:r w:rsidR="008A7F7D">
              <w:rPr>
                <w:b/>
                <w:sz w:val="24"/>
                <w:szCs w:val="24"/>
              </w:rPr>
              <w:t xml:space="preserve">Transportation Switching Goals </w:t>
            </w:r>
          </w:p>
        </w:tc>
        <w:tc>
          <w:tcPr>
            <w:tcW w:w="1620" w:type="dxa"/>
            <w:shd w:val="clear" w:color="auto" w:fill="E2EFD9" w:themeFill="accent6" w:themeFillTint="33"/>
          </w:tcPr>
          <w:p w:rsidR="008A7F7D" w:rsidRPr="004A5130" w:rsidRDefault="008A7F7D" w:rsidP="00D254BE">
            <w:pPr>
              <w:jc w:val="center"/>
              <w:rPr>
                <w:b/>
                <w:sz w:val="24"/>
                <w:szCs w:val="24"/>
              </w:rPr>
            </w:pPr>
            <w:r w:rsidRPr="004A5130">
              <w:rPr>
                <w:b/>
                <w:sz w:val="24"/>
                <w:szCs w:val="24"/>
              </w:rPr>
              <w:t>2015</w:t>
            </w:r>
          </w:p>
          <w:p w:rsidR="008A7F7D" w:rsidRPr="008A7F7D" w:rsidRDefault="008A7F7D" w:rsidP="00D254BE">
            <w:pPr>
              <w:jc w:val="center"/>
              <w:rPr>
                <w:sz w:val="20"/>
                <w:szCs w:val="20"/>
              </w:rPr>
            </w:pPr>
            <w:r>
              <w:rPr>
                <w:sz w:val="20"/>
                <w:szCs w:val="20"/>
              </w:rPr>
              <w:t>(Estimated Current T</w:t>
            </w:r>
            <w:r w:rsidRPr="008A7F7D">
              <w:rPr>
                <w:sz w:val="20"/>
                <w:szCs w:val="20"/>
              </w:rPr>
              <w:t>otal)</w:t>
            </w:r>
          </w:p>
        </w:tc>
        <w:tc>
          <w:tcPr>
            <w:tcW w:w="990" w:type="dxa"/>
            <w:shd w:val="clear" w:color="auto" w:fill="E2EFD9" w:themeFill="accent6" w:themeFillTint="33"/>
          </w:tcPr>
          <w:p w:rsidR="008A7F7D" w:rsidRPr="004A5130" w:rsidRDefault="008A7F7D" w:rsidP="00D254BE">
            <w:pPr>
              <w:jc w:val="center"/>
              <w:rPr>
                <w:b/>
                <w:sz w:val="24"/>
                <w:szCs w:val="24"/>
              </w:rPr>
            </w:pPr>
            <w:r w:rsidRPr="004A5130">
              <w:rPr>
                <w:b/>
                <w:sz w:val="24"/>
                <w:szCs w:val="24"/>
              </w:rPr>
              <w:t>2025</w:t>
            </w:r>
          </w:p>
        </w:tc>
        <w:tc>
          <w:tcPr>
            <w:tcW w:w="1260" w:type="dxa"/>
            <w:shd w:val="clear" w:color="auto" w:fill="E2EFD9" w:themeFill="accent6" w:themeFillTint="33"/>
          </w:tcPr>
          <w:p w:rsidR="008A7F7D" w:rsidRPr="004A5130" w:rsidRDefault="008A7F7D" w:rsidP="00D254BE">
            <w:pPr>
              <w:jc w:val="center"/>
              <w:rPr>
                <w:b/>
                <w:sz w:val="24"/>
                <w:szCs w:val="24"/>
              </w:rPr>
            </w:pPr>
            <w:r w:rsidRPr="004A5130">
              <w:rPr>
                <w:b/>
                <w:sz w:val="24"/>
                <w:szCs w:val="24"/>
              </w:rPr>
              <w:t>2035</w:t>
            </w:r>
          </w:p>
        </w:tc>
        <w:tc>
          <w:tcPr>
            <w:tcW w:w="1232" w:type="dxa"/>
            <w:shd w:val="clear" w:color="auto" w:fill="E2EFD9" w:themeFill="accent6" w:themeFillTint="33"/>
          </w:tcPr>
          <w:p w:rsidR="008A7F7D" w:rsidRPr="004A5130" w:rsidRDefault="008A7F7D" w:rsidP="00D254BE">
            <w:pPr>
              <w:jc w:val="center"/>
              <w:rPr>
                <w:b/>
                <w:sz w:val="24"/>
                <w:szCs w:val="24"/>
              </w:rPr>
            </w:pPr>
            <w:r w:rsidRPr="004A5130">
              <w:rPr>
                <w:b/>
                <w:sz w:val="24"/>
                <w:szCs w:val="24"/>
              </w:rPr>
              <w:t>2050</w:t>
            </w:r>
          </w:p>
        </w:tc>
      </w:tr>
      <w:tr w:rsidR="008A7F7D" w:rsidTr="00D254BE">
        <w:tc>
          <w:tcPr>
            <w:tcW w:w="4248" w:type="dxa"/>
          </w:tcPr>
          <w:p w:rsidR="008A7F7D" w:rsidRPr="001878C8" w:rsidRDefault="008A7F7D">
            <w:pPr>
              <w:rPr>
                <w:sz w:val="24"/>
                <w:szCs w:val="24"/>
              </w:rPr>
            </w:pPr>
            <w:r w:rsidRPr="001878C8">
              <w:rPr>
                <w:sz w:val="24"/>
                <w:szCs w:val="24"/>
              </w:rPr>
              <w:t>Electric Vehicles</w:t>
            </w:r>
          </w:p>
        </w:tc>
        <w:tc>
          <w:tcPr>
            <w:tcW w:w="1620" w:type="dxa"/>
          </w:tcPr>
          <w:p w:rsidR="008A7F7D" w:rsidRPr="001878C8" w:rsidRDefault="001878C8" w:rsidP="00D254BE">
            <w:pPr>
              <w:jc w:val="center"/>
              <w:rPr>
                <w:sz w:val="24"/>
                <w:szCs w:val="24"/>
              </w:rPr>
            </w:pPr>
            <w:r>
              <w:rPr>
                <w:sz w:val="24"/>
                <w:szCs w:val="24"/>
              </w:rPr>
              <w:t>12</w:t>
            </w:r>
          </w:p>
        </w:tc>
        <w:tc>
          <w:tcPr>
            <w:tcW w:w="990" w:type="dxa"/>
          </w:tcPr>
          <w:p w:rsidR="008A7F7D" w:rsidRPr="001878C8" w:rsidRDefault="007B5A59" w:rsidP="00D254BE">
            <w:pPr>
              <w:jc w:val="center"/>
              <w:rPr>
                <w:sz w:val="24"/>
                <w:szCs w:val="24"/>
              </w:rPr>
            </w:pPr>
            <w:r>
              <w:rPr>
                <w:sz w:val="24"/>
                <w:szCs w:val="24"/>
              </w:rPr>
              <w:t>155</w:t>
            </w:r>
          </w:p>
        </w:tc>
        <w:tc>
          <w:tcPr>
            <w:tcW w:w="1260" w:type="dxa"/>
          </w:tcPr>
          <w:p w:rsidR="008A7F7D" w:rsidRPr="001878C8" w:rsidRDefault="007B5A59" w:rsidP="00D254BE">
            <w:pPr>
              <w:jc w:val="center"/>
              <w:rPr>
                <w:sz w:val="24"/>
                <w:szCs w:val="24"/>
              </w:rPr>
            </w:pPr>
            <w:r>
              <w:rPr>
                <w:sz w:val="24"/>
                <w:szCs w:val="24"/>
              </w:rPr>
              <w:t>1,097</w:t>
            </w:r>
          </w:p>
        </w:tc>
        <w:tc>
          <w:tcPr>
            <w:tcW w:w="1232" w:type="dxa"/>
          </w:tcPr>
          <w:p w:rsidR="008A7F7D" w:rsidRPr="001878C8" w:rsidRDefault="007B5A59" w:rsidP="00D254BE">
            <w:pPr>
              <w:jc w:val="center"/>
              <w:rPr>
                <w:sz w:val="24"/>
                <w:szCs w:val="24"/>
              </w:rPr>
            </w:pPr>
            <w:r>
              <w:rPr>
                <w:sz w:val="24"/>
                <w:szCs w:val="24"/>
              </w:rPr>
              <w:t>2,283</w:t>
            </w:r>
          </w:p>
        </w:tc>
      </w:tr>
      <w:tr w:rsidR="008A7F7D" w:rsidTr="00D254BE">
        <w:tc>
          <w:tcPr>
            <w:tcW w:w="4248" w:type="dxa"/>
          </w:tcPr>
          <w:p w:rsidR="00D254BE" w:rsidRDefault="00B53EA6" w:rsidP="00B53EA6">
            <w:pPr>
              <w:rPr>
                <w:sz w:val="24"/>
                <w:szCs w:val="24"/>
              </w:rPr>
            </w:pPr>
            <w:r>
              <w:rPr>
                <w:sz w:val="24"/>
                <w:szCs w:val="24"/>
              </w:rPr>
              <w:t>Biodiesel municipal fleet/</w:t>
            </w:r>
          </w:p>
          <w:p w:rsidR="008A7F7D" w:rsidRPr="001878C8" w:rsidRDefault="00B53EA6" w:rsidP="00B53EA6">
            <w:pPr>
              <w:rPr>
                <w:sz w:val="24"/>
                <w:szCs w:val="24"/>
              </w:rPr>
            </w:pPr>
            <w:r>
              <w:rPr>
                <w:sz w:val="24"/>
                <w:szCs w:val="24"/>
              </w:rPr>
              <w:t>commercial trucks</w:t>
            </w:r>
          </w:p>
        </w:tc>
        <w:tc>
          <w:tcPr>
            <w:tcW w:w="1620" w:type="dxa"/>
          </w:tcPr>
          <w:p w:rsidR="008A7F7D" w:rsidRPr="001878C8" w:rsidRDefault="001878C8" w:rsidP="00D254BE">
            <w:pPr>
              <w:jc w:val="center"/>
              <w:rPr>
                <w:sz w:val="24"/>
                <w:szCs w:val="24"/>
              </w:rPr>
            </w:pPr>
            <w:r>
              <w:rPr>
                <w:sz w:val="24"/>
                <w:szCs w:val="24"/>
              </w:rPr>
              <w:t>69</w:t>
            </w:r>
          </w:p>
        </w:tc>
        <w:tc>
          <w:tcPr>
            <w:tcW w:w="990" w:type="dxa"/>
          </w:tcPr>
          <w:p w:rsidR="008A7F7D" w:rsidRPr="001878C8" w:rsidRDefault="007B5A59" w:rsidP="00D254BE">
            <w:pPr>
              <w:jc w:val="center"/>
              <w:rPr>
                <w:sz w:val="24"/>
                <w:szCs w:val="24"/>
              </w:rPr>
            </w:pPr>
            <w:r>
              <w:rPr>
                <w:sz w:val="24"/>
                <w:szCs w:val="24"/>
              </w:rPr>
              <w:t>272</w:t>
            </w:r>
          </w:p>
        </w:tc>
        <w:tc>
          <w:tcPr>
            <w:tcW w:w="1260" w:type="dxa"/>
          </w:tcPr>
          <w:p w:rsidR="008A7F7D" w:rsidRPr="001878C8" w:rsidRDefault="007B5A59" w:rsidP="00D254BE">
            <w:pPr>
              <w:jc w:val="center"/>
              <w:rPr>
                <w:sz w:val="24"/>
                <w:szCs w:val="24"/>
              </w:rPr>
            </w:pPr>
            <w:r>
              <w:rPr>
                <w:sz w:val="24"/>
                <w:szCs w:val="24"/>
              </w:rPr>
              <w:t>512</w:t>
            </w:r>
          </w:p>
        </w:tc>
        <w:tc>
          <w:tcPr>
            <w:tcW w:w="1232" w:type="dxa"/>
          </w:tcPr>
          <w:p w:rsidR="008A7F7D" w:rsidRPr="001878C8" w:rsidRDefault="007B5A59" w:rsidP="00D254BE">
            <w:pPr>
              <w:jc w:val="center"/>
              <w:rPr>
                <w:sz w:val="24"/>
                <w:szCs w:val="24"/>
              </w:rPr>
            </w:pPr>
            <w:r>
              <w:rPr>
                <w:sz w:val="24"/>
                <w:szCs w:val="24"/>
              </w:rPr>
              <w:t>865</w:t>
            </w:r>
          </w:p>
        </w:tc>
      </w:tr>
      <w:tr w:rsidR="00E104E0" w:rsidTr="00D254BE">
        <w:tc>
          <w:tcPr>
            <w:tcW w:w="4248" w:type="dxa"/>
          </w:tcPr>
          <w:p w:rsidR="00E104E0" w:rsidRPr="001878C8" w:rsidRDefault="00E104E0">
            <w:pPr>
              <w:rPr>
                <w:sz w:val="24"/>
                <w:szCs w:val="24"/>
              </w:rPr>
            </w:pPr>
            <w:r>
              <w:rPr>
                <w:sz w:val="24"/>
                <w:szCs w:val="24"/>
              </w:rPr>
              <w:t>Carpooling</w:t>
            </w:r>
          </w:p>
        </w:tc>
        <w:tc>
          <w:tcPr>
            <w:tcW w:w="1620" w:type="dxa"/>
          </w:tcPr>
          <w:p w:rsidR="00E104E0" w:rsidRDefault="00E104E0">
            <w:pPr>
              <w:rPr>
                <w:sz w:val="24"/>
                <w:szCs w:val="24"/>
              </w:rPr>
            </w:pPr>
          </w:p>
        </w:tc>
        <w:tc>
          <w:tcPr>
            <w:tcW w:w="990" w:type="dxa"/>
          </w:tcPr>
          <w:p w:rsidR="00E104E0" w:rsidRPr="001878C8" w:rsidRDefault="00E104E0">
            <w:pPr>
              <w:rPr>
                <w:sz w:val="24"/>
                <w:szCs w:val="24"/>
              </w:rPr>
            </w:pPr>
          </w:p>
        </w:tc>
        <w:tc>
          <w:tcPr>
            <w:tcW w:w="1260" w:type="dxa"/>
          </w:tcPr>
          <w:p w:rsidR="00E104E0" w:rsidRPr="001878C8" w:rsidRDefault="00E104E0">
            <w:pPr>
              <w:rPr>
                <w:sz w:val="24"/>
                <w:szCs w:val="24"/>
              </w:rPr>
            </w:pPr>
          </w:p>
        </w:tc>
        <w:tc>
          <w:tcPr>
            <w:tcW w:w="1232" w:type="dxa"/>
          </w:tcPr>
          <w:p w:rsidR="00E104E0" w:rsidRPr="001878C8" w:rsidRDefault="00E104E0">
            <w:pPr>
              <w:rPr>
                <w:sz w:val="24"/>
                <w:szCs w:val="24"/>
              </w:rPr>
            </w:pPr>
          </w:p>
        </w:tc>
      </w:tr>
      <w:tr w:rsidR="00E104E0" w:rsidTr="00D254BE">
        <w:tc>
          <w:tcPr>
            <w:tcW w:w="4248" w:type="dxa"/>
          </w:tcPr>
          <w:p w:rsidR="00E104E0" w:rsidRPr="001878C8" w:rsidRDefault="00E104E0">
            <w:pPr>
              <w:rPr>
                <w:sz w:val="24"/>
                <w:szCs w:val="24"/>
              </w:rPr>
            </w:pPr>
            <w:r>
              <w:rPr>
                <w:sz w:val="24"/>
                <w:szCs w:val="24"/>
              </w:rPr>
              <w:t>Public Transit</w:t>
            </w:r>
          </w:p>
        </w:tc>
        <w:tc>
          <w:tcPr>
            <w:tcW w:w="1620" w:type="dxa"/>
          </w:tcPr>
          <w:p w:rsidR="00E104E0" w:rsidRDefault="00E104E0">
            <w:pPr>
              <w:rPr>
                <w:sz w:val="24"/>
                <w:szCs w:val="24"/>
              </w:rPr>
            </w:pPr>
          </w:p>
        </w:tc>
        <w:tc>
          <w:tcPr>
            <w:tcW w:w="990" w:type="dxa"/>
          </w:tcPr>
          <w:p w:rsidR="00E104E0" w:rsidRPr="001878C8" w:rsidRDefault="00E104E0">
            <w:pPr>
              <w:rPr>
                <w:sz w:val="24"/>
                <w:szCs w:val="24"/>
              </w:rPr>
            </w:pPr>
          </w:p>
        </w:tc>
        <w:tc>
          <w:tcPr>
            <w:tcW w:w="1260" w:type="dxa"/>
          </w:tcPr>
          <w:p w:rsidR="00E104E0" w:rsidRPr="001878C8" w:rsidRDefault="00E104E0">
            <w:pPr>
              <w:rPr>
                <w:sz w:val="24"/>
                <w:szCs w:val="24"/>
              </w:rPr>
            </w:pPr>
          </w:p>
        </w:tc>
        <w:tc>
          <w:tcPr>
            <w:tcW w:w="1232" w:type="dxa"/>
          </w:tcPr>
          <w:p w:rsidR="00E104E0" w:rsidRPr="001878C8" w:rsidRDefault="00E104E0">
            <w:pPr>
              <w:rPr>
                <w:sz w:val="24"/>
                <w:szCs w:val="24"/>
              </w:rPr>
            </w:pPr>
          </w:p>
        </w:tc>
      </w:tr>
      <w:tr w:rsidR="00E104E0" w:rsidTr="00D254BE">
        <w:tc>
          <w:tcPr>
            <w:tcW w:w="4248" w:type="dxa"/>
          </w:tcPr>
          <w:p w:rsidR="00E104E0" w:rsidRPr="001878C8" w:rsidRDefault="00E104E0">
            <w:pPr>
              <w:rPr>
                <w:sz w:val="24"/>
                <w:szCs w:val="24"/>
              </w:rPr>
            </w:pPr>
            <w:r>
              <w:rPr>
                <w:sz w:val="24"/>
                <w:szCs w:val="24"/>
              </w:rPr>
              <w:t>Municipal Fleet</w:t>
            </w:r>
            <w:r w:rsidR="00D254BE">
              <w:rPr>
                <w:sz w:val="24"/>
                <w:szCs w:val="24"/>
              </w:rPr>
              <w:t xml:space="preserve"> </w:t>
            </w:r>
            <w:r>
              <w:rPr>
                <w:sz w:val="24"/>
                <w:szCs w:val="24"/>
              </w:rPr>
              <w:t>(Police Cars, DPW fleet, School Busses)</w:t>
            </w:r>
          </w:p>
        </w:tc>
        <w:tc>
          <w:tcPr>
            <w:tcW w:w="1620" w:type="dxa"/>
          </w:tcPr>
          <w:p w:rsidR="00E104E0" w:rsidRDefault="00EE29E1">
            <w:pPr>
              <w:rPr>
                <w:sz w:val="24"/>
                <w:szCs w:val="24"/>
              </w:rPr>
            </w:pPr>
            <w:r w:rsidRPr="00EE29E1">
              <w:rPr>
                <w:sz w:val="24"/>
                <w:szCs w:val="24"/>
                <w:highlight w:val="yellow"/>
              </w:rPr>
              <w:t>(Get Number)</w:t>
            </w:r>
          </w:p>
        </w:tc>
        <w:tc>
          <w:tcPr>
            <w:tcW w:w="990" w:type="dxa"/>
          </w:tcPr>
          <w:p w:rsidR="00E104E0" w:rsidRPr="001878C8" w:rsidRDefault="00E104E0">
            <w:pPr>
              <w:rPr>
                <w:sz w:val="24"/>
                <w:szCs w:val="24"/>
              </w:rPr>
            </w:pPr>
          </w:p>
        </w:tc>
        <w:tc>
          <w:tcPr>
            <w:tcW w:w="1260" w:type="dxa"/>
          </w:tcPr>
          <w:p w:rsidR="00E104E0" w:rsidRPr="001878C8" w:rsidRDefault="00E104E0">
            <w:pPr>
              <w:rPr>
                <w:sz w:val="24"/>
                <w:szCs w:val="24"/>
              </w:rPr>
            </w:pPr>
          </w:p>
        </w:tc>
        <w:tc>
          <w:tcPr>
            <w:tcW w:w="1232" w:type="dxa"/>
          </w:tcPr>
          <w:p w:rsidR="00E104E0" w:rsidRPr="001878C8" w:rsidRDefault="00E104E0">
            <w:pPr>
              <w:rPr>
                <w:sz w:val="24"/>
                <w:szCs w:val="24"/>
              </w:rPr>
            </w:pPr>
          </w:p>
        </w:tc>
      </w:tr>
      <w:tr w:rsidR="00356C45" w:rsidTr="00D254BE">
        <w:tc>
          <w:tcPr>
            <w:tcW w:w="4248" w:type="dxa"/>
          </w:tcPr>
          <w:p w:rsidR="00356C45" w:rsidRDefault="00356C45">
            <w:pPr>
              <w:rPr>
                <w:sz w:val="24"/>
                <w:szCs w:val="24"/>
              </w:rPr>
            </w:pPr>
            <w:r>
              <w:rPr>
                <w:sz w:val="24"/>
                <w:szCs w:val="24"/>
              </w:rPr>
              <w:t>Park &amp; Ride</w:t>
            </w:r>
          </w:p>
        </w:tc>
        <w:tc>
          <w:tcPr>
            <w:tcW w:w="1620" w:type="dxa"/>
          </w:tcPr>
          <w:p w:rsidR="00356C45" w:rsidRPr="00EE29E1" w:rsidRDefault="00356C45">
            <w:pPr>
              <w:rPr>
                <w:sz w:val="24"/>
                <w:szCs w:val="24"/>
                <w:highlight w:val="yellow"/>
              </w:rPr>
            </w:pPr>
          </w:p>
        </w:tc>
        <w:tc>
          <w:tcPr>
            <w:tcW w:w="990" w:type="dxa"/>
          </w:tcPr>
          <w:p w:rsidR="00356C45" w:rsidRPr="001878C8" w:rsidRDefault="00356C45">
            <w:pPr>
              <w:rPr>
                <w:sz w:val="24"/>
                <w:szCs w:val="24"/>
              </w:rPr>
            </w:pPr>
          </w:p>
        </w:tc>
        <w:tc>
          <w:tcPr>
            <w:tcW w:w="1260" w:type="dxa"/>
          </w:tcPr>
          <w:p w:rsidR="00356C45" w:rsidRPr="001878C8" w:rsidRDefault="00356C45">
            <w:pPr>
              <w:rPr>
                <w:sz w:val="24"/>
                <w:szCs w:val="24"/>
              </w:rPr>
            </w:pPr>
          </w:p>
        </w:tc>
        <w:tc>
          <w:tcPr>
            <w:tcW w:w="1232" w:type="dxa"/>
          </w:tcPr>
          <w:p w:rsidR="00356C45" w:rsidRPr="001878C8" w:rsidRDefault="00356C45">
            <w:pPr>
              <w:rPr>
                <w:sz w:val="24"/>
                <w:szCs w:val="24"/>
              </w:rPr>
            </w:pPr>
          </w:p>
        </w:tc>
      </w:tr>
    </w:tbl>
    <w:p w:rsidR="00356C45" w:rsidRDefault="00D254BE" w:rsidP="00356C45">
      <w:r>
        <w:rPr>
          <w:noProof/>
        </w:rPr>
        <mc:AlternateContent>
          <mc:Choice Requires="wps">
            <w:drawing>
              <wp:anchor distT="45720" distB="45720" distL="114300" distR="114300" simplePos="0" relativeHeight="251656704" behindDoc="0" locked="0" layoutInCell="1" allowOverlap="1">
                <wp:simplePos x="0" y="0"/>
                <wp:positionH relativeFrom="column">
                  <wp:posOffset>-36195</wp:posOffset>
                </wp:positionH>
                <wp:positionV relativeFrom="paragraph">
                  <wp:posOffset>225425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93CD3" w:rsidRDefault="00393CD3">
                            <w:r>
                              <w:t>Insert Photo of electric vehicle charging at Hanford or Bradford Park and Ride</w:t>
                            </w:r>
                            <w:r w:rsidR="00D254BE">
                              <w:rPr>
                                <w:noProof/>
                              </w:rPr>
                              <w:drawing>
                                <wp:inline distT="0" distB="0" distL="0" distR="0" wp14:anchorId="560796F7" wp14:editId="22514A4C">
                                  <wp:extent cx="2162810" cy="1480633"/>
                                  <wp:effectExtent l="0" t="0" r="0" b="5715"/>
                                  <wp:docPr id="13" name="Picture 13" descr="https://www.driveelectricvt.com/Media/Default/images/blog/2014-01-08/lucy_gibson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driveelectricvt.com/Media/Default/images/blog/2014-01-08/lucy_gibson_thumbnai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810" cy="148063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2.85pt;margin-top:17.75pt;width:185.9pt;height:110.6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">
                <v:textbox style="mso-fit-shape-to-text:t">
                  <w:txbxContent>
                    <w:p w:rsidR="00393CD3" w:rsidRDefault="00393CD3">
                      <w:r>
                        <w:t>Insert Photo of electric vehicle charging at Hanford or Bradford Park and Ride</w:t>
                      </w:r>
                      <w:r w:rsidR="00D254BE">
                        <w:rPr>
                          <w:noProof/>
                        </w:rPr>
                        <w:drawing>
                          <wp:inline distT="0" distB="0" distL="0" distR="0" wp14:anchorId="560796F7" wp14:editId="22514A4C">
                            <wp:extent cx="2162810" cy="1480633"/>
                            <wp:effectExtent l="0" t="0" r="0" b="5715"/>
                            <wp:docPr id="13" name="Picture 13" descr="https://www.driveelectricvt.com/Media/Default/images/blog/2014-01-08/lucy_gibson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driveelectricvt.com/Media/Default/images/blog/2014-01-08/lucy_gibson_thumbnai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810" cy="1480633"/>
                                    </a:xfrm>
                                    <a:prstGeom prst="rect">
                                      <a:avLst/>
                                    </a:prstGeom>
                                    <a:noFill/>
                                    <a:ln>
                                      <a:noFill/>
                                    </a:ln>
                                  </pic:spPr>
                                </pic:pic>
                              </a:graphicData>
                            </a:graphic>
                          </wp:inline>
                        </w:drawing>
                      </w:r>
                    </w:p>
                  </w:txbxContent>
                </v:textbox>
                <w10:wrap type="square"/>
              </v:shape>
            </w:pict>
          </mc:Fallback>
        </mc:AlternateContent>
      </w:r>
    </w:p>
    <w:p w:rsidR="008A7F7D" w:rsidRDefault="00356C45">
      <w:pPr>
        <w:rPr>
          <w:sz w:val="28"/>
          <w:szCs w:val="28"/>
        </w:rPr>
      </w:pPr>
      <w:r>
        <w:t>Table C represents the</w:t>
      </w:r>
      <w:r w:rsidR="00B53EA6">
        <w:t xml:space="preserve"> percentage of items 1 and 2</w:t>
      </w:r>
      <w:r>
        <w:t xml:space="preserve"> from Table B shown above</w:t>
      </w:r>
    </w:p>
    <w:tbl>
      <w:tblPr>
        <w:tblStyle w:val="TableGrid"/>
        <w:tblW w:w="0" w:type="auto"/>
        <w:tblLook w:val="04A0" w:firstRow="1" w:lastRow="0" w:firstColumn="1" w:lastColumn="0" w:noHBand="0" w:noVBand="1"/>
      </w:tblPr>
      <w:tblGrid>
        <w:gridCol w:w="2268"/>
        <w:gridCol w:w="546"/>
        <w:gridCol w:w="1061"/>
        <w:gridCol w:w="940"/>
        <w:gridCol w:w="894"/>
      </w:tblGrid>
      <w:tr w:rsidR="008C7E4F" w:rsidRPr="00444EC3" w:rsidTr="00EE29E1">
        <w:trPr>
          <w:trHeight w:val="324"/>
        </w:trPr>
        <w:tc>
          <w:tcPr>
            <w:tcW w:w="3626" w:type="dxa"/>
            <w:shd w:val="clear" w:color="auto" w:fill="E2EFD9" w:themeFill="accent6" w:themeFillTint="33"/>
            <w:noWrap/>
            <w:hideMark/>
          </w:tcPr>
          <w:p w:rsidR="004A5130" w:rsidRPr="00D4023B" w:rsidRDefault="00305D4F" w:rsidP="00CA50D5">
            <w:pPr>
              <w:tabs>
                <w:tab w:val="left" w:pos="1155"/>
              </w:tabs>
              <w:rPr>
                <w:b/>
                <w:bCs/>
              </w:rPr>
            </w:pPr>
            <w:r>
              <w:rPr>
                <w:b/>
                <w:bCs/>
              </w:rPr>
              <w:t xml:space="preserve">C. </w:t>
            </w:r>
            <w:r w:rsidR="004A5130" w:rsidRPr="00D4023B">
              <w:rPr>
                <w:b/>
                <w:bCs/>
              </w:rPr>
              <w:t xml:space="preserve">Renewables </w:t>
            </w:r>
            <w:r w:rsidR="004A5130">
              <w:rPr>
                <w:b/>
                <w:bCs/>
              </w:rPr>
              <w:t>–</w:t>
            </w:r>
            <w:r w:rsidR="004A5130" w:rsidRPr="00D4023B">
              <w:rPr>
                <w:b/>
                <w:bCs/>
              </w:rPr>
              <w:t xml:space="preserve"> Transportation</w:t>
            </w:r>
            <w:r w:rsidR="004A5130">
              <w:rPr>
                <w:b/>
                <w:bCs/>
              </w:rPr>
              <w:t xml:space="preserve"> Goals</w:t>
            </w:r>
          </w:p>
        </w:tc>
        <w:tc>
          <w:tcPr>
            <w:tcW w:w="1334" w:type="dxa"/>
            <w:shd w:val="clear" w:color="auto" w:fill="E2EFD9" w:themeFill="accent6" w:themeFillTint="33"/>
          </w:tcPr>
          <w:p w:rsidR="004A5130" w:rsidRPr="00D4023B" w:rsidRDefault="004A5130" w:rsidP="00CA50D5">
            <w:pPr>
              <w:tabs>
                <w:tab w:val="left" w:pos="1155"/>
              </w:tabs>
              <w:rPr>
                <w:b/>
                <w:bCs/>
              </w:rPr>
            </w:pPr>
            <w:r>
              <w:rPr>
                <w:b/>
                <w:bCs/>
              </w:rPr>
              <w:t>2015</w:t>
            </w:r>
          </w:p>
        </w:tc>
        <w:tc>
          <w:tcPr>
            <w:tcW w:w="1621" w:type="dxa"/>
            <w:shd w:val="clear" w:color="auto" w:fill="E2EFD9" w:themeFill="accent6" w:themeFillTint="33"/>
            <w:noWrap/>
            <w:hideMark/>
          </w:tcPr>
          <w:p w:rsidR="004A5130" w:rsidRPr="00D4023B" w:rsidRDefault="004A5130" w:rsidP="00CA50D5">
            <w:pPr>
              <w:tabs>
                <w:tab w:val="left" w:pos="1155"/>
              </w:tabs>
              <w:rPr>
                <w:b/>
                <w:bCs/>
              </w:rPr>
            </w:pPr>
            <w:r w:rsidRPr="00D4023B">
              <w:rPr>
                <w:b/>
                <w:bCs/>
              </w:rPr>
              <w:t>2025</w:t>
            </w:r>
          </w:p>
        </w:tc>
        <w:tc>
          <w:tcPr>
            <w:tcW w:w="1419" w:type="dxa"/>
            <w:shd w:val="clear" w:color="auto" w:fill="E2EFD9" w:themeFill="accent6" w:themeFillTint="33"/>
            <w:noWrap/>
            <w:hideMark/>
          </w:tcPr>
          <w:p w:rsidR="004A5130" w:rsidRPr="00D4023B" w:rsidRDefault="004A5130" w:rsidP="00CA50D5">
            <w:pPr>
              <w:tabs>
                <w:tab w:val="left" w:pos="1155"/>
              </w:tabs>
              <w:rPr>
                <w:b/>
                <w:bCs/>
              </w:rPr>
            </w:pPr>
            <w:r w:rsidRPr="00D4023B">
              <w:rPr>
                <w:b/>
                <w:bCs/>
              </w:rPr>
              <w:t>2035</w:t>
            </w:r>
          </w:p>
        </w:tc>
        <w:tc>
          <w:tcPr>
            <w:tcW w:w="1343" w:type="dxa"/>
            <w:shd w:val="clear" w:color="auto" w:fill="E2EFD9" w:themeFill="accent6" w:themeFillTint="33"/>
            <w:noWrap/>
            <w:hideMark/>
          </w:tcPr>
          <w:p w:rsidR="004A5130" w:rsidRPr="00D4023B" w:rsidRDefault="004A5130" w:rsidP="00CA50D5">
            <w:pPr>
              <w:tabs>
                <w:tab w:val="left" w:pos="1155"/>
              </w:tabs>
              <w:rPr>
                <w:b/>
                <w:bCs/>
              </w:rPr>
            </w:pPr>
            <w:r w:rsidRPr="00D4023B">
              <w:rPr>
                <w:b/>
                <w:bCs/>
              </w:rPr>
              <w:t>2050</w:t>
            </w:r>
          </w:p>
        </w:tc>
      </w:tr>
      <w:tr w:rsidR="008C7E4F" w:rsidRPr="00444EC3" w:rsidTr="00EE29E1">
        <w:trPr>
          <w:trHeight w:val="324"/>
        </w:trPr>
        <w:tc>
          <w:tcPr>
            <w:tcW w:w="3626" w:type="dxa"/>
            <w:noWrap/>
            <w:hideMark/>
          </w:tcPr>
          <w:p w:rsidR="004A5130" w:rsidRPr="00444EC3" w:rsidRDefault="004A5130" w:rsidP="00CA50D5">
            <w:pPr>
              <w:tabs>
                <w:tab w:val="left" w:pos="1155"/>
              </w:tabs>
            </w:pPr>
            <w:r w:rsidRPr="00444EC3">
              <w:t>Renewable Energy Use - Transportation</w:t>
            </w:r>
          </w:p>
        </w:tc>
        <w:tc>
          <w:tcPr>
            <w:tcW w:w="1334" w:type="dxa"/>
          </w:tcPr>
          <w:p w:rsidR="004A5130" w:rsidRPr="00444EC3" w:rsidRDefault="004A5130" w:rsidP="00CA50D5">
            <w:pPr>
              <w:tabs>
                <w:tab w:val="left" w:pos="1155"/>
              </w:tabs>
            </w:pPr>
            <w:r>
              <w:t>1.83%</w:t>
            </w:r>
          </w:p>
        </w:tc>
        <w:tc>
          <w:tcPr>
            <w:tcW w:w="1621" w:type="dxa"/>
            <w:noWrap/>
            <w:hideMark/>
          </w:tcPr>
          <w:p w:rsidR="004A5130" w:rsidRPr="00444EC3" w:rsidRDefault="004A5130" w:rsidP="00CA50D5">
            <w:pPr>
              <w:tabs>
                <w:tab w:val="left" w:pos="1155"/>
              </w:tabs>
            </w:pPr>
            <w:r w:rsidRPr="00444EC3">
              <w:t>9.6%</w:t>
            </w:r>
          </w:p>
        </w:tc>
        <w:tc>
          <w:tcPr>
            <w:tcW w:w="1419" w:type="dxa"/>
            <w:noWrap/>
            <w:hideMark/>
          </w:tcPr>
          <w:p w:rsidR="004A5130" w:rsidRPr="00444EC3" w:rsidRDefault="004A5130" w:rsidP="00CA50D5">
            <w:pPr>
              <w:tabs>
                <w:tab w:val="left" w:pos="1155"/>
              </w:tabs>
            </w:pPr>
            <w:r w:rsidRPr="00444EC3">
              <w:t>23.1%</w:t>
            </w:r>
          </w:p>
        </w:tc>
        <w:tc>
          <w:tcPr>
            <w:tcW w:w="1343" w:type="dxa"/>
            <w:noWrap/>
            <w:hideMark/>
          </w:tcPr>
          <w:p w:rsidR="004A5130" w:rsidRPr="00444EC3" w:rsidRDefault="004A5130" w:rsidP="00CA50D5">
            <w:pPr>
              <w:tabs>
                <w:tab w:val="left" w:pos="1155"/>
              </w:tabs>
            </w:pPr>
            <w:r w:rsidRPr="00444EC3">
              <w:t>90.3%</w:t>
            </w:r>
          </w:p>
        </w:tc>
      </w:tr>
    </w:tbl>
    <w:p w:rsidR="00EE29E1" w:rsidRPr="003A67B7" w:rsidRDefault="00EE29E1" w:rsidP="003A67B7">
      <w:pPr>
        <w:spacing w:after="0" w:line="240" w:lineRule="auto"/>
      </w:pPr>
    </w:p>
    <w:p w:rsidR="00AC764E" w:rsidRPr="003A67B7" w:rsidRDefault="00AC764E" w:rsidP="003A67B7">
      <w:pPr>
        <w:spacing w:after="0" w:line="240" w:lineRule="auto"/>
      </w:pPr>
    </w:p>
    <w:p w:rsidR="00AC764E" w:rsidRPr="003A67B7" w:rsidRDefault="00AC764E" w:rsidP="003A67B7">
      <w:pPr>
        <w:spacing w:after="0" w:line="240" w:lineRule="auto"/>
      </w:pPr>
    </w:p>
    <w:p w:rsidR="00AC764E" w:rsidRPr="003A67B7" w:rsidRDefault="00AC764E" w:rsidP="003A67B7">
      <w:pPr>
        <w:spacing w:after="0" w:line="240" w:lineRule="auto"/>
      </w:pPr>
    </w:p>
    <w:p w:rsidR="00AC764E" w:rsidRPr="003A67B7" w:rsidRDefault="00AC764E" w:rsidP="003A67B7">
      <w:pPr>
        <w:spacing w:after="0" w:line="240" w:lineRule="auto"/>
      </w:pPr>
    </w:p>
    <w:p w:rsidR="00AC764E" w:rsidRPr="003A67B7" w:rsidRDefault="00AC764E" w:rsidP="003A67B7">
      <w:pPr>
        <w:spacing w:after="0" w:line="240" w:lineRule="auto"/>
      </w:pPr>
    </w:p>
    <w:p w:rsidR="003A67B7" w:rsidRDefault="003A67B7">
      <w:pPr>
        <w:rPr>
          <w:sz w:val="28"/>
          <w:szCs w:val="28"/>
        </w:rPr>
      </w:pPr>
    </w:p>
    <w:p w:rsidR="00305D4F" w:rsidRDefault="00305D4F">
      <w:pPr>
        <w:rPr>
          <w:b/>
          <w:color w:val="538135" w:themeColor="accent6" w:themeShade="BF"/>
          <w:sz w:val="28"/>
          <w:szCs w:val="28"/>
        </w:rPr>
      </w:pPr>
      <w:r>
        <w:rPr>
          <w:b/>
          <w:color w:val="538135" w:themeColor="accent6" w:themeShade="BF"/>
          <w:sz w:val="28"/>
          <w:szCs w:val="28"/>
        </w:rPr>
        <w:t xml:space="preserve">Residential and Commercial Heating </w:t>
      </w:r>
    </w:p>
    <w:p w:rsidR="003C25A0" w:rsidRPr="00FA796D" w:rsidRDefault="003C25A0">
      <w:pPr>
        <w:rPr>
          <w:u w:val="single"/>
        </w:rPr>
      </w:pPr>
      <w:r w:rsidRPr="00FA796D">
        <w:rPr>
          <w:sz w:val="24"/>
          <w:szCs w:val="24"/>
          <w:u w:val="single"/>
        </w:rPr>
        <w:t xml:space="preserve">Because heating contributes </w:t>
      </w:r>
      <w:r w:rsidR="00FA796D" w:rsidRPr="00FA796D">
        <w:rPr>
          <w:sz w:val="24"/>
          <w:szCs w:val="24"/>
          <w:u w:val="single"/>
        </w:rPr>
        <w:t xml:space="preserve">to </w:t>
      </w:r>
      <w:r w:rsidRPr="00FA796D">
        <w:rPr>
          <w:sz w:val="24"/>
          <w:szCs w:val="24"/>
          <w:u w:val="single"/>
        </w:rPr>
        <w:t>a</w:t>
      </w:r>
      <w:r w:rsidR="00FA796D" w:rsidRPr="00FA796D">
        <w:rPr>
          <w:sz w:val="24"/>
          <w:szCs w:val="24"/>
          <w:u w:val="single"/>
        </w:rPr>
        <w:t xml:space="preserve"> significant</w:t>
      </w:r>
      <w:r w:rsidRPr="00FA796D">
        <w:rPr>
          <w:sz w:val="24"/>
          <w:szCs w:val="24"/>
          <w:u w:val="single"/>
        </w:rPr>
        <w:t xml:space="preserve"> portion of Vermont's energy consumption, especially at the residential level, installing </w:t>
      </w:r>
      <w:r w:rsidR="00FA796D" w:rsidRPr="00FA796D">
        <w:rPr>
          <w:sz w:val="24"/>
          <w:szCs w:val="24"/>
          <w:u w:val="single"/>
        </w:rPr>
        <w:t>cold climate</w:t>
      </w:r>
      <w:r w:rsidRPr="00FA796D">
        <w:rPr>
          <w:sz w:val="24"/>
          <w:szCs w:val="24"/>
          <w:u w:val="single"/>
        </w:rPr>
        <w:t xml:space="preserve"> heat pumps and weatherizing the shell of a home can lead to significant reduction</w:t>
      </w:r>
      <w:r w:rsidR="00FA796D" w:rsidRPr="00FA796D">
        <w:rPr>
          <w:sz w:val="24"/>
          <w:szCs w:val="24"/>
          <w:u w:val="single"/>
        </w:rPr>
        <w:t>s</w:t>
      </w:r>
      <w:r w:rsidRPr="00FA796D">
        <w:rPr>
          <w:sz w:val="24"/>
          <w:szCs w:val="24"/>
          <w:u w:val="single"/>
        </w:rPr>
        <w:t xml:space="preserve"> in </w:t>
      </w:r>
      <w:r w:rsidR="00FA796D" w:rsidRPr="00FA796D">
        <w:rPr>
          <w:sz w:val="24"/>
          <w:szCs w:val="24"/>
          <w:u w:val="single"/>
        </w:rPr>
        <w:t>heating costs</w:t>
      </w:r>
      <w:r w:rsidRPr="00FA796D">
        <w:rPr>
          <w:sz w:val="24"/>
          <w:szCs w:val="24"/>
          <w:u w:val="single"/>
        </w:rPr>
        <w:t xml:space="preserve"> and the use of </w:t>
      </w:r>
      <w:r w:rsidR="00FA796D" w:rsidRPr="00FA796D">
        <w:rPr>
          <w:sz w:val="24"/>
          <w:szCs w:val="24"/>
          <w:u w:val="single"/>
        </w:rPr>
        <w:t>fossil</w:t>
      </w:r>
      <w:r w:rsidRPr="00FA796D">
        <w:rPr>
          <w:sz w:val="24"/>
          <w:szCs w:val="24"/>
          <w:u w:val="single"/>
        </w:rPr>
        <w:t xml:space="preserve"> fuels. </w:t>
      </w:r>
      <w:r w:rsidRPr="00FA796D">
        <w:rPr>
          <w:u w:val="single"/>
        </w:rPr>
        <w:t xml:space="preserve">Table D displays </w:t>
      </w:r>
      <w:r w:rsidR="00AC764E" w:rsidRPr="00FA796D">
        <w:rPr>
          <w:u w:val="single"/>
        </w:rPr>
        <w:t xml:space="preserve">data from </w:t>
      </w:r>
      <w:r w:rsidRPr="00FA796D">
        <w:rPr>
          <w:u w:val="single"/>
        </w:rPr>
        <w:t xml:space="preserve">ACS that estimates current municipal residential heating energy use, with </w:t>
      </w:r>
      <w:r w:rsidR="00AC764E" w:rsidRPr="00FA796D">
        <w:rPr>
          <w:u w:val="single"/>
        </w:rPr>
        <w:t xml:space="preserve">the </w:t>
      </w:r>
      <w:r w:rsidRPr="00FA796D">
        <w:rPr>
          <w:u w:val="single"/>
        </w:rPr>
        <w:t xml:space="preserve">highest percentages of </w:t>
      </w:r>
      <w:r w:rsidR="007B5A59" w:rsidRPr="00FA796D">
        <w:rPr>
          <w:u w:val="single"/>
        </w:rPr>
        <w:t xml:space="preserve">Bradford </w:t>
      </w:r>
      <w:r w:rsidRPr="00FA796D">
        <w:rPr>
          <w:u w:val="single"/>
        </w:rPr>
        <w:t>residents using fuel oil (52.9%) or propane (18%) to heat their homes.</w:t>
      </w:r>
      <w:r w:rsidR="00EE29E1" w:rsidRPr="00FA796D">
        <w:rPr>
          <w:u w:val="single"/>
        </w:rPr>
        <w:t xml:space="preserve"> </w:t>
      </w:r>
    </w:p>
    <w:p w:rsidR="00C00D18" w:rsidRPr="003C25A0" w:rsidRDefault="00C00D18">
      <w:pPr>
        <w:rPr>
          <w:sz w:val="24"/>
          <w:szCs w:val="24"/>
        </w:rPr>
      </w:pPr>
    </w:p>
    <w:tbl>
      <w:tblPr>
        <w:tblStyle w:val="TableGrid"/>
        <w:tblW w:w="0" w:type="auto"/>
        <w:tblLook w:val="04A0" w:firstRow="1" w:lastRow="0" w:firstColumn="1" w:lastColumn="0" w:noHBand="0" w:noVBand="1"/>
      </w:tblPr>
      <w:tblGrid>
        <w:gridCol w:w="1160"/>
        <w:gridCol w:w="3401"/>
        <w:gridCol w:w="1691"/>
        <w:gridCol w:w="1840"/>
        <w:gridCol w:w="1484"/>
      </w:tblGrid>
      <w:tr w:rsidR="00305D4F" w:rsidRPr="00305D4F" w:rsidTr="00DE486E">
        <w:trPr>
          <w:trHeight w:val="300"/>
        </w:trPr>
        <w:tc>
          <w:tcPr>
            <w:tcW w:w="9576" w:type="dxa"/>
            <w:gridSpan w:val="5"/>
            <w:shd w:val="clear" w:color="auto" w:fill="E2EFD9" w:themeFill="accent6" w:themeFillTint="33"/>
            <w:noWrap/>
            <w:hideMark/>
          </w:tcPr>
          <w:p w:rsidR="00305D4F" w:rsidRPr="00305D4F" w:rsidRDefault="00305D4F" w:rsidP="00305D4F">
            <w:pPr>
              <w:rPr>
                <w:b/>
                <w:bCs/>
                <w:sz w:val="24"/>
                <w:szCs w:val="24"/>
              </w:rPr>
            </w:pPr>
            <w:r>
              <w:rPr>
                <w:b/>
                <w:bCs/>
                <w:sz w:val="24"/>
                <w:szCs w:val="24"/>
              </w:rPr>
              <w:lastRenderedPageBreak/>
              <w:t xml:space="preserve">D. Current </w:t>
            </w:r>
            <w:r w:rsidRPr="00305D4F">
              <w:rPr>
                <w:b/>
                <w:bCs/>
                <w:sz w:val="24"/>
                <w:szCs w:val="24"/>
              </w:rPr>
              <w:t>Residential Heating Energy Use</w:t>
            </w:r>
          </w:p>
        </w:tc>
      </w:tr>
      <w:tr w:rsidR="00305D4F" w:rsidRPr="00305D4F" w:rsidTr="00FA796D">
        <w:trPr>
          <w:trHeight w:val="315"/>
        </w:trPr>
        <w:tc>
          <w:tcPr>
            <w:tcW w:w="1162" w:type="dxa"/>
            <w:noWrap/>
            <w:hideMark/>
          </w:tcPr>
          <w:p w:rsidR="00305D4F" w:rsidRPr="00305D4F" w:rsidRDefault="00305D4F">
            <w:pPr>
              <w:rPr>
                <w:b/>
                <w:bCs/>
                <w:sz w:val="24"/>
                <w:szCs w:val="24"/>
              </w:rPr>
            </w:pPr>
            <w:r w:rsidRPr="00305D4F">
              <w:rPr>
                <w:b/>
                <w:bCs/>
                <w:sz w:val="24"/>
                <w:szCs w:val="24"/>
              </w:rPr>
              <w:t>Fuel Source</w:t>
            </w:r>
          </w:p>
        </w:tc>
        <w:tc>
          <w:tcPr>
            <w:tcW w:w="3445" w:type="dxa"/>
            <w:noWrap/>
            <w:hideMark/>
          </w:tcPr>
          <w:p w:rsidR="00305D4F" w:rsidRPr="00305D4F" w:rsidRDefault="00B53EA6">
            <w:pPr>
              <w:rPr>
                <w:b/>
                <w:bCs/>
                <w:sz w:val="24"/>
                <w:szCs w:val="24"/>
              </w:rPr>
            </w:pPr>
            <w:r>
              <w:rPr>
                <w:b/>
                <w:bCs/>
                <w:sz w:val="24"/>
                <w:szCs w:val="24"/>
              </w:rPr>
              <w:t>Bradford</w:t>
            </w:r>
            <w:r w:rsidR="00305D4F" w:rsidRPr="00305D4F">
              <w:rPr>
                <w:b/>
                <w:bCs/>
                <w:sz w:val="24"/>
                <w:szCs w:val="24"/>
              </w:rPr>
              <w:t xml:space="preserve"> Households (ACS 2011-2015)</w:t>
            </w:r>
          </w:p>
        </w:tc>
        <w:tc>
          <w:tcPr>
            <w:tcW w:w="1711" w:type="dxa"/>
            <w:noWrap/>
            <w:hideMark/>
          </w:tcPr>
          <w:p w:rsidR="00305D4F" w:rsidRPr="00305D4F" w:rsidRDefault="00B53EA6">
            <w:pPr>
              <w:rPr>
                <w:b/>
                <w:bCs/>
                <w:sz w:val="24"/>
                <w:szCs w:val="24"/>
              </w:rPr>
            </w:pPr>
            <w:r>
              <w:rPr>
                <w:b/>
                <w:bCs/>
                <w:sz w:val="24"/>
                <w:szCs w:val="24"/>
              </w:rPr>
              <w:t>Bradford</w:t>
            </w:r>
            <w:r w:rsidRPr="00305D4F">
              <w:rPr>
                <w:b/>
                <w:bCs/>
                <w:sz w:val="24"/>
                <w:szCs w:val="24"/>
              </w:rPr>
              <w:t xml:space="preserve"> </w:t>
            </w:r>
            <w:r w:rsidR="00305D4F" w:rsidRPr="00305D4F">
              <w:rPr>
                <w:b/>
                <w:bCs/>
                <w:sz w:val="24"/>
                <w:szCs w:val="24"/>
              </w:rPr>
              <w:t>% of Households</w:t>
            </w:r>
          </w:p>
        </w:tc>
        <w:tc>
          <w:tcPr>
            <w:tcW w:w="1757" w:type="dxa"/>
            <w:noWrap/>
            <w:hideMark/>
          </w:tcPr>
          <w:p w:rsidR="00305D4F" w:rsidRPr="00305D4F" w:rsidRDefault="00B53EA6" w:rsidP="00305D4F">
            <w:pPr>
              <w:rPr>
                <w:b/>
                <w:bCs/>
                <w:sz w:val="24"/>
                <w:szCs w:val="24"/>
              </w:rPr>
            </w:pPr>
            <w:r>
              <w:rPr>
                <w:b/>
                <w:bCs/>
                <w:sz w:val="24"/>
                <w:szCs w:val="24"/>
              </w:rPr>
              <w:t>Bradford</w:t>
            </w:r>
            <w:r w:rsidRPr="00305D4F">
              <w:rPr>
                <w:b/>
                <w:bCs/>
                <w:sz w:val="24"/>
                <w:szCs w:val="24"/>
              </w:rPr>
              <w:t xml:space="preserve"> </w:t>
            </w:r>
            <w:r w:rsidR="00305D4F">
              <w:rPr>
                <w:b/>
                <w:bCs/>
                <w:sz w:val="24"/>
                <w:szCs w:val="24"/>
              </w:rPr>
              <w:t>BTU’s</w:t>
            </w:r>
          </w:p>
        </w:tc>
        <w:tc>
          <w:tcPr>
            <w:tcW w:w="1501" w:type="dxa"/>
            <w:noWrap/>
            <w:hideMark/>
          </w:tcPr>
          <w:p w:rsidR="00305D4F" w:rsidRPr="00305D4F" w:rsidRDefault="00B53EA6">
            <w:pPr>
              <w:rPr>
                <w:b/>
                <w:bCs/>
                <w:sz w:val="24"/>
                <w:szCs w:val="24"/>
              </w:rPr>
            </w:pPr>
            <w:r>
              <w:rPr>
                <w:b/>
                <w:bCs/>
                <w:sz w:val="24"/>
                <w:szCs w:val="24"/>
              </w:rPr>
              <w:t>Bradford</w:t>
            </w:r>
            <w:r w:rsidRPr="00305D4F">
              <w:rPr>
                <w:b/>
                <w:bCs/>
                <w:sz w:val="24"/>
                <w:szCs w:val="24"/>
              </w:rPr>
              <w:t xml:space="preserve"> </w:t>
            </w:r>
            <w:r w:rsidR="00305D4F" w:rsidRPr="00305D4F">
              <w:rPr>
                <w:b/>
                <w:bCs/>
                <w:sz w:val="24"/>
                <w:szCs w:val="24"/>
              </w:rPr>
              <w:t>BTU (in Billions)</w:t>
            </w:r>
          </w:p>
        </w:tc>
      </w:tr>
      <w:tr w:rsidR="00305D4F" w:rsidRPr="00305D4F" w:rsidTr="00FA796D">
        <w:trPr>
          <w:trHeight w:val="315"/>
        </w:trPr>
        <w:tc>
          <w:tcPr>
            <w:tcW w:w="1162" w:type="dxa"/>
            <w:noWrap/>
            <w:hideMark/>
          </w:tcPr>
          <w:p w:rsidR="00305D4F" w:rsidRPr="00305D4F" w:rsidRDefault="00305D4F">
            <w:pPr>
              <w:rPr>
                <w:sz w:val="24"/>
                <w:szCs w:val="24"/>
              </w:rPr>
            </w:pPr>
            <w:r w:rsidRPr="00305D4F">
              <w:rPr>
                <w:sz w:val="24"/>
                <w:szCs w:val="24"/>
              </w:rPr>
              <w:t>Natural Gas</w:t>
            </w:r>
          </w:p>
        </w:tc>
        <w:tc>
          <w:tcPr>
            <w:tcW w:w="3445" w:type="dxa"/>
            <w:noWrap/>
            <w:hideMark/>
          </w:tcPr>
          <w:p w:rsidR="00305D4F" w:rsidRPr="00305D4F" w:rsidRDefault="007B5A59" w:rsidP="00083E23">
            <w:pPr>
              <w:jc w:val="center"/>
              <w:rPr>
                <w:sz w:val="24"/>
                <w:szCs w:val="24"/>
              </w:rPr>
            </w:pPr>
            <w:r>
              <w:rPr>
                <w:sz w:val="24"/>
                <w:szCs w:val="24"/>
              </w:rPr>
              <w:t>37</w:t>
            </w:r>
          </w:p>
        </w:tc>
        <w:tc>
          <w:tcPr>
            <w:tcW w:w="1711" w:type="dxa"/>
            <w:noWrap/>
            <w:hideMark/>
          </w:tcPr>
          <w:p w:rsidR="00305D4F" w:rsidRPr="00305D4F" w:rsidRDefault="00083E23" w:rsidP="00083E23">
            <w:pPr>
              <w:jc w:val="center"/>
              <w:rPr>
                <w:sz w:val="24"/>
                <w:szCs w:val="24"/>
              </w:rPr>
            </w:pPr>
            <w:r>
              <w:rPr>
                <w:sz w:val="24"/>
                <w:szCs w:val="24"/>
              </w:rPr>
              <w:t>3.1</w:t>
            </w:r>
            <w:r w:rsidR="00305D4F" w:rsidRPr="00305D4F">
              <w:rPr>
                <w:sz w:val="24"/>
                <w:szCs w:val="24"/>
              </w:rPr>
              <w:t>%</w:t>
            </w:r>
          </w:p>
        </w:tc>
        <w:tc>
          <w:tcPr>
            <w:tcW w:w="1757" w:type="dxa"/>
            <w:noWrap/>
            <w:hideMark/>
          </w:tcPr>
          <w:p w:rsidR="00305D4F" w:rsidRPr="00305D4F" w:rsidRDefault="00083E23" w:rsidP="00083E23">
            <w:pPr>
              <w:jc w:val="center"/>
              <w:rPr>
                <w:sz w:val="24"/>
                <w:szCs w:val="24"/>
              </w:rPr>
            </w:pPr>
            <w:r>
              <w:rPr>
                <w:sz w:val="24"/>
                <w:szCs w:val="24"/>
              </w:rPr>
              <w:t>3,775,800,000</w:t>
            </w:r>
          </w:p>
        </w:tc>
        <w:tc>
          <w:tcPr>
            <w:tcW w:w="1501" w:type="dxa"/>
            <w:noWrap/>
            <w:hideMark/>
          </w:tcPr>
          <w:p w:rsidR="00305D4F" w:rsidRPr="00305D4F" w:rsidRDefault="00083E23" w:rsidP="00083E23">
            <w:pPr>
              <w:jc w:val="center"/>
              <w:rPr>
                <w:sz w:val="24"/>
                <w:szCs w:val="24"/>
              </w:rPr>
            </w:pPr>
            <w:r>
              <w:rPr>
                <w:sz w:val="24"/>
                <w:szCs w:val="24"/>
              </w:rPr>
              <w:t>4</w:t>
            </w:r>
          </w:p>
        </w:tc>
      </w:tr>
      <w:tr w:rsidR="00305D4F" w:rsidRPr="00305D4F" w:rsidTr="00FA796D">
        <w:trPr>
          <w:trHeight w:val="300"/>
        </w:trPr>
        <w:tc>
          <w:tcPr>
            <w:tcW w:w="1162" w:type="dxa"/>
            <w:noWrap/>
            <w:hideMark/>
          </w:tcPr>
          <w:p w:rsidR="00305D4F" w:rsidRPr="00305D4F" w:rsidRDefault="00305D4F">
            <w:pPr>
              <w:rPr>
                <w:sz w:val="24"/>
                <w:szCs w:val="24"/>
              </w:rPr>
            </w:pPr>
            <w:r w:rsidRPr="00305D4F">
              <w:rPr>
                <w:sz w:val="24"/>
                <w:szCs w:val="24"/>
              </w:rPr>
              <w:t>Propane</w:t>
            </w:r>
          </w:p>
        </w:tc>
        <w:tc>
          <w:tcPr>
            <w:tcW w:w="3445" w:type="dxa"/>
            <w:noWrap/>
            <w:hideMark/>
          </w:tcPr>
          <w:p w:rsidR="00305D4F" w:rsidRPr="00305D4F" w:rsidRDefault="00083E23" w:rsidP="00083E23">
            <w:pPr>
              <w:jc w:val="center"/>
              <w:rPr>
                <w:sz w:val="24"/>
                <w:szCs w:val="24"/>
              </w:rPr>
            </w:pPr>
            <w:r>
              <w:rPr>
                <w:sz w:val="24"/>
                <w:szCs w:val="24"/>
              </w:rPr>
              <w:t>3</w:t>
            </w:r>
            <w:r w:rsidR="00305D4F" w:rsidRPr="00305D4F">
              <w:rPr>
                <w:sz w:val="24"/>
                <w:szCs w:val="24"/>
              </w:rPr>
              <w:t>43</w:t>
            </w:r>
          </w:p>
        </w:tc>
        <w:tc>
          <w:tcPr>
            <w:tcW w:w="1711" w:type="dxa"/>
            <w:noWrap/>
            <w:hideMark/>
          </w:tcPr>
          <w:p w:rsidR="00305D4F" w:rsidRPr="00305D4F" w:rsidRDefault="00083E23" w:rsidP="00083E23">
            <w:pPr>
              <w:jc w:val="center"/>
              <w:rPr>
                <w:sz w:val="24"/>
                <w:szCs w:val="24"/>
              </w:rPr>
            </w:pPr>
            <w:r>
              <w:rPr>
                <w:sz w:val="24"/>
                <w:szCs w:val="24"/>
              </w:rPr>
              <w:t>28.9</w:t>
            </w:r>
            <w:r w:rsidR="00305D4F" w:rsidRPr="00305D4F">
              <w:rPr>
                <w:sz w:val="24"/>
                <w:szCs w:val="24"/>
              </w:rPr>
              <w:t>%</w:t>
            </w:r>
          </w:p>
        </w:tc>
        <w:tc>
          <w:tcPr>
            <w:tcW w:w="1757" w:type="dxa"/>
            <w:noWrap/>
            <w:hideMark/>
          </w:tcPr>
          <w:p w:rsidR="00305D4F" w:rsidRPr="00305D4F" w:rsidRDefault="00083E23" w:rsidP="00083E23">
            <w:pPr>
              <w:jc w:val="center"/>
              <w:rPr>
                <w:sz w:val="24"/>
                <w:szCs w:val="24"/>
              </w:rPr>
            </w:pPr>
            <w:r>
              <w:rPr>
                <w:sz w:val="24"/>
                <w:szCs w:val="24"/>
              </w:rPr>
              <w:t>31,543,320,000</w:t>
            </w:r>
          </w:p>
        </w:tc>
        <w:tc>
          <w:tcPr>
            <w:tcW w:w="1501" w:type="dxa"/>
            <w:noWrap/>
            <w:hideMark/>
          </w:tcPr>
          <w:p w:rsidR="00305D4F" w:rsidRPr="00305D4F" w:rsidRDefault="00083E23" w:rsidP="00083E23">
            <w:pPr>
              <w:jc w:val="center"/>
              <w:rPr>
                <w:sz w:val="24"/>
                <w:szCs w:val="24"/>
              </w:rPr>
            </w:pPr>
            <w:r>
              <w:rPr>
                <w:sz w:val="24"/>
                <w:szCs w:val="24"/>
              </w:rPr>
              <w:t>32</w:t>
            </w:r>
          </w:p>
        </w:tc>
      </w:tr>
      <w:tr w:rsidR="00305D4F" w:rsidRPr="00305D4F" w:rsidTr="00FA796D">
        <w:trPr>
          <w:trHeight w:val="300"/>
        </w:trPr>
        <w:tc>
          <w:tcPr>
            <w:tcW w:w="1162" w:type="dxa"/>
            <w:noWrap/>
            <w:hideMark/>
          </w:tcPr>
          <w:p w:rsidR="00305D4F" w:rsidRPr="00305D4F" w:rsidRDefault="00305D4F">
            <w:pPr>
              <w:rPr>
                <w:sz w:val="24"/>
                <w:szCs w:val="24"/>
              </w:rPr>
            </w:pPr>
            <w:r w:rsidRPr="00305D4F">
              <w:rPr>
                <w:sz w:val="24"/>
                <w:szCs w:val="24"/>
              </w:rPr>
              <w:t>Electricity</w:t>
            </w:r>
          </w:p>
        </w:tc>
        <w:tc>
          <w:tcPr>
            <w:tcW w:w="3445" w:type="dxa"/>
            <w:noWrap/>
            <w:hideMark/>
          </w:tcPr>
          <w:p w:rsidR="00305D4F" w:rsidRPr="00305D4F" w:rsidRDefault="00083E23" w:rsidP="00083E23">
            <w:pPr>
              <w:jc w:val="center"/>
              <w:rPr>
                <w:sz w:val="24"/>
                <w:szCs w:val="24"/>
              </w:rPr>
            </w:pPr>
            <w:r>
              <w:rPr>
                <w:sz w:val="24"/>
                <w:szCs w:val="24"/>
              </w:rPr>
              <w:t>100</w:t>
            </w:r>
          </w:p>
        </w:tc>
        <w:tc>
          <w:tcPr>
            <w:tcW w:w="1711" w:type="dxa"/>
            <w:noWrap/>
            <w:hideMark/>
          </w:tcPr>
          <w:p w:rsidR="00305D4F" w:rsidRPr="00305D4F" w:rsidRDefault="00083E23" w:rsidP="00083E23">
            <w:pPr>
              <w:jc w:val="center"/>
              <w:rPr>
                <w:sz w:val="24"/>
                <w:szCs w:val="24"/>
              </w:rPr>
            </w:pPr>
            <w:r>
              <w:rPr>
                <w:sz w:val="24"/>
                <w:szCs w:val="24"/>
              </w:rPr>
              <w:t>8.4</w:t>
            </w:r>
            <w:r w:rsidR="00305D4F" w:rsidRPr="00305D4F">
              <w:rPr>
                <w:sz w:val="24"/>
                <w:szCs w:val="24"/>
              </w:rPr>
              <w:t>%</w:t>
            </w:r>
          </w:p>
        </w:tc>
        <w:tc>
          <w:tcPr>
            <w:tcW w:w="1757" w:type="dxa"/>
            <w:noWrap/>
            <w:hideMark/>
          </w:tcPr>
          <w:p w:rsidR="00305D4F" w:rsidRPr="00305D4F" w:rsidRDefault="00083E23" w:rsidP="00083E23">
            <w:pPr>
              <w:jc w:val="center"/>
              <w:rPr>
                <w:sz w:val="24"/>
                <w:szCs w:val="24"/>
              </w:rPr>
            </w:pPr>
            <w:r>
              <w:rPr>
                <w:sz w:val="24"/>
                <w:szCs w:val="24"/>
              </w:rPr>
              <w:t>7,727,040,000</w:t>
            </w:r>
          </w:p>
        </w:tc>
        <w:tc>
          <w:tcPr>
            <w:tcW w:w="1501" w:type="dxa"/>
            <w:noWrap/>
            <w:hideMark/>
          </w:tcPr>
          <w:p w:rsidR="00305D4F" w:rsidRPr="00305D4F" w:rsidRDefault="00083E23" w:rsidP="00083E23">
            <w:pPr>
              <w:jc w:val="center"/>
              <w:rPr>
                <w:sz w:val="24"/>
                <w:szCs w:val="24"/>
              </w:rPr>
            </w:pPr>
            <w:r>
              <w:rPr>
                <w:sz w:val="24"/>
                <w:szCs w:val="24"/>
              </w:rPr>
              <w:t>8</w:t>
            </w:r>
          </w:p>
        </w:tc>
      </w:tr>
      <w:tr w:rsidR="00305D4F" w:rsidRPr="00305D4F" w:rsidTr="00FA796D">
        <w:trPr>
          <w:trHeight w:val="300"/>
        </w:trPr>
        <w:tc>
          <w:tcPr>
            <w:tcW w:w="1162" w:type="dxa"/>
            <w:noWrap/>
            <w:hideMark/>
          </w:tcPr>
          <w:p w:rsidR="00305D4F" w:rsidRPr="00305D4F" w:rsidRDefault="00305D4F">
            <w:pPr>
              <w:rPr>
                <w:sz w:val="24"/>
                <w:szCs w:val="24"/>
              </w:rPr>
            </w:pPr>
            <w:r w:rsidRPr="00305D4F">
              <w:rPr>
                <w:sz w:val="24"/>
                <w:szCs w:val="24"/>
              </w:rPr>
              <w:t>Fuel Oil</w:t>
            </w:r>
          </w:p>
        </w:tc>
        <w:tc>
          <w:tcPr>
            <w:tcW w:w="3445" w:type="dxa"/>
            <w:noWrap/>
            <w:hideMark/>
          </w:tcPr>
          <w:p w:rsidR="00305D4F" w:rsidRPr="00305D4F" w:rsidRDefault="00083E23" w:rsidP="00083E23">
            <w:pPr>
              <w:jc w:val="center"/>
              <w:rPr>
                <w:sz w:val="24"/>
                <w:szCs w:val="24"/>
              </w:rPr>
            </w:pPr>
            <w:r>
              <w:rPr>
                <w:sz w:val="24"/>
                <w:szCs w:val="24"/>
              </w:rPr>
              <w:t>449</w:t>
            </w:r>
          </w:p>
        </w:tc>
        <w:tc>
          <w:tcPr>
            <w:tcW w:w="1711" w:type="dxa"/>
            <w:noWrap/>
            <w:hideMark/>
          </w:tcPr>
          <w:p w:rsidR="00305D4F" w:rsidRPr="00305D4F" w:rsidRDefault="00083E23" w:rsidP="00083E23">
            <w:pPr>
              <w:jc w:val="center"/>
              <w:rPr>
                <w:sz w:val="24"/>
                <w:szCs w:val="24"/>
              </w:rPr>
            </w:pPr>
            <w:r>
              <w:rPr>
                <w:sz w:val="24"/>
                <w:szCs w:val="24"/>
              </w:rPr>
              <w:t>37.9</w:t>
            </w:r>
            <w:r w:rsidR="00305D4F" w:rsidRPr="00305D4F">
              <w:rPr>
                <w:sz w:val="24"/>
                <w:szCs w:val="24"/>
              </w:rPr>
              <w:t>%</w:t>
            </w:r>
          </w:p>
        </w:tc>
        <w:tc>
          <w:tcPr>
            <w:tcW w:w="1757" w:type="dxa"/>
            <w:noWrap/>
            <w:hideMark/>
          </w:tcPr>
          <w:p w:rsidR="00305D4F" w:rsidRPr="00305D4F" w:rsidRDefault="00083E23" w:rsidP="00083E23">
            <w:pPr>
              <w:jc w:val="center"/>
              <w:rPr>
                <w:sz w:val="24"/>
                <w:szCs w:val="24"/>
              </w:rPr>
            </w:pPr>
            <w:r>
              <w:rPr>
                <w:sz w:val="24"/>
                <w:szCs w:val="24"/>
              </w:rPr>
              <w:t>43,483,320,000</w:t>
            </w:r>
          </w:p>
        </w:tc>
        <w:tc>
          <w:tcPr>
            <w:tcW w:w="1501" w:type="dxa"/>
            <w:noWrap/>
            <w:hideMark/>
          </w:tcPr>
          <w:p w:rsidR="00305D4F" w:rsidRPr="00305D4F" w:rsidRDefault="00083E23" w:rsidP="00083E23">
            <w:pPr>
              <w:jc w:val="center"/>
              <w:rPr>
                <w:sz w:val="24"/>
                <w:szCs w:val="24"/>
              </w:rPr>
            </w:pPr>
            <w:r>
              <w:rPr>
                <w:sz w:val="24"/>
                <w:szCs w:val="24"/>
              </w:rPr>
              <w:t>43</w:t>
            </w:r>
          </w:p>
        </w:tc>
      </w:tr>
      <w:tr w:rsidR="00305D4F" w:rsidRPr="00305D4F" w:rsidTr="00FA796D">
        <w:trPr>
          <w:trHeight w:val="300"/>
        </w:trPr>
        <w:tc>
          <w:tcPr>
            <w:tcW w:w="1162" w:type="dxa"/>
            <w:noWrap/>
            <w:hideMark/>
          </w:tcPr>
          <w:p w:rsidR="00305D4F" w:rsidRPr="00305D4F" w:rsidRDefault="00305D4F">
            <w:pPr>
              <w:rPr>
                <w:sz w:val="24"/>
                <w:szCs w:val="24"/>
              </w:rPr>
            </w:pPr>
            <w:r w:rsidRPr="00305D4F">
              <w:rPr>
                <w:sz w:val="24"/>
                <w:szCs w:val="24"/>
              </w:rPr>
              <w:t>Coal</w:t>
            </w:r>
          </w:p>
        </w:tc>
        <w:tc>
          <w:tcPr>
            <w:tcW w:w="3445" w:type="dxa"/>
            <w:noWrap/>
            <w:hideMark/>
          </w:tcPr>
          <w:p w:rsidR="00305D4F" w:rsidRPr="00305D4F" w:rsidRDefault="00083E23" w:rsidP="00083E23">
            <w:pPr>
              <w:jc w:val="center"/>
              <w:rPr>
                <w:sz w:val="24"/>
                <w:szCs w:val="24"/>
              </w:rPr>
            </w:pPr>
            <w:r>
              <w:rPr>
                <w:sz w:val="24"/>
                <w:szCs w:val="24"/>
              </w:rPr>
              <w:t>0</w:t>
            </w:r>
          </w:p>
        </w:tc>
        <w:tc>
          <w:tcPr>
            <w:tcW w:w="1711" w:type="dxa"/>
            <w:noWrap/>
            <w:hideMark/>
          </w:tcPr>
          <w:p w:rsidR="00305D4F" w:rsidRPr="00305D4F" w:rsidRDefault="00083E23" w:rsidP="00083E23">
            <w:pPr>
              <w:jc w:val="center"/>
              <w:rPr>
                <w:sz w:val="24"/>
                <w:szCs w:val="24"/>
              </w:rPr>
            </w:pPr>
            <w:r>
              <w:rPr>
                <w:sz w:val="24"/>
                <w:szCs w:val="24"/>
              </w:rPr>
              <w:t>0</w:t>
            </w:r>
            <w:r w:rsidR="00305D4F" w:rsidRPr="00305D4F">
              <w:rPr>
                <w:sz w:val="24"/>
                <w:szCs w:val="24"/>
              </w:rPr>
              <w:t>.0%</w:t>
            </w:r>
          </w:p>
        </w:tc>
        <w:tc>
          <w:tcPr>
            <w:tcW w:w="1757" w:type="dxa"/>
            <w:noWrap/>
            <w:hideMark/>
          </w:tcPr>
          <w:p w:rsidR="00305D4F" w:rsidRPr="00305D4F" w:rsidRDefault="00083E23" w:rsidP="00083E23">
            <w:pPr>
              <w:jc w:val="center"/>
              <w:rPr>
                <w:sz w:val="24"/>
                <w:szCs w:val="24"/>
              </w:rPr>
            </w:pPr>
            <w:r>
              <w:rPr>
                <w:sz w:val="24"/>
                <w:szCs w:val="24"/>
              </w:rPr>
              <w:t>0</w:t>
            </w:r>
          </w:p>
        </w:tc>
        <w:tc>
          <w:tcPr>
            <w:tcW w:w="1501" w:type="dxa"/>
            <w:noWrap/>
            <w:hideMark/>
          </w:tcPr>
          <w:p w:rsidR="00305D4F" w:rsidRPr="00305D4F" w:rsidRDefault="00083E23" w:rsidP="00083E23">
            <w:pPr>
              <w:jc w:val="center"/>
              <w:rPr>
                <w:sz w:val="24"/>
                <w:szCs w:val="24"/>
              </w:rPr>
            </w:pPr>
            <w:r>
              <w:rPr>
                <w:sz w:val="24"/>
                <w:szCs w:val="24"/>
              </w:rPr>
              <w:t>0</w:t>
            </w:r>
          </w:p>
        </w:tc>
      </w:tr>
      <w:tr w:rsidR="00305D4F" w:rsidRPr="00305D4F" w:rsidTr="00FA796D">
        <w:trPr>
          <w:trHeight w:val="300"/>
        </w:trPr>
        <w:tc>
          <w:tcPr>
            <w:tcW w:w="1162" w:type="dxa"/>
            <w:noWrap/>
            <w:hideMark/>
          </w:tcPr>
          <w:p w:rsidR="00305D4F" w:rsidRPr="00305D4F" w:rsidRDefault="00305D4F">
            <w:pPr>
              <w:rPr>
                <w:sz w:val="24"/>
                <w:szCs w:val="24"/>
              </w:rPr>
            </w:pPr>
            <w:r w:rsidRPr="00305D4F">
              <w:rPr>
                <w:sz w:val="24"/>
                <w:szCs w:val="24"/>
              </w:rPr>
              <w:t>Wood</w:t>
            </w:r>
          </w:p>
        </w:tc>
        <w:tc>
          <w:tcPr>
            <w:tcW w:w="3445" w:type="dxa"/>
            <w:noWrap/>
            <w:hideMark/>
          </w:tcPr>
          <w:p w:rsidR="00305D4F" w:rsidRPr="00305D4F" w:rsidRDefault="00083E23" w:rsidP="00083E23">
            <w:pPr>
              <w:jc w:val="center"/>
              <w:rPr>
                <w:sz w:val="24"/>
                <w:szCs w:val="24"/>
              </w:rPr>
            </w:pPr>
            <w:r>
              <w:rPr>
                <w:sz w:val="24"/>
                <w:szCs w:val="24"/>
              </w:rPr>
              <w:t>240</w:t>
            </w:r>
          </w:p>
        </w:tc>
        <w:tc>
          <w:tcPr>
            <w:tcW w:w="1711" w:type="dxa"/>
            <w:noWrap/>
            <w:hideMark/>
          </w:tcPr>
          <w:p w:rsidR="00305D4F" w:rsidRPr="00305D4F" w:rsidRDefault="00083E23" w:rsidP="00083E23">
            <w:pPr>
              <w:jc w:val="center"/>
              <w:rPr>
                <w:sz w:val="24"/>
                <w:szCs w:val="24"/>
              </w:rPr>
            </w:pPr>
            <w:r>
              <w:rPr>
                <w:sz w:val="24"/>
                <w:szCs w:val="24"/>
              </w:rPr>
              <w:t>20.3</w:t>
            </w:r>
            <w:r w:rsidR="00305D4F" w:rsidRPr="00305D4F">
              <w:rPr>
                <w:sz w:val="24"/>
                <w:szCs w:val="24"/>
              </w:rPr>
              <w:t>%</w:t>
            </w:r>
          </w:p>
        </w:tc>
        <w:tc>
          <w:tcPr>
            <w:tcW w:w="1757" w:type="dxa"/>
            <w:noWrap/>
            <w:hideMark/>
          </w:tcPr>
          <w:p w:rsidR="00305D4F" w:rsidRPr="00305D4F" w:rsidRDefault="00083E23" w:rsidP="00083E23">
            <w:pPr>
              <w:jc w:val="center"/>
              <w:rPr>
                <w:sz w:val="24"/>
                <w:szCs w:val="24"/>
              </w:rPr>
            </w:pPr>
            <w:r>
              <w:rPr>
                <w:sz w:val="24"/>
                <w:szCs w:val="24"/>
              </w:rPr>
              <w:t>26,377,800,000</w:t>
            </w:r>
          </w:p>
        </w:tc>
        <w:tc>
          <w:tcPr>
            <w:tcW w:w="1501" w:type="dxa"/>
            <w:noWrap/>
            <w:hideMark/>
          </w:tcPr>
          <w:p w:rsidR="00305D4F" w:rsidRPr="00305D4F" w:rsidRDefault="00305D4F" w:rsidP="00083E23">
            <w:pPr>
              <w:jc w:val="center"/>
              <w:rPr>
                <w:sz w:val="24"/>
                <w:szCs w:val="24"/>
              </w:rPr>
            </w:pPr>
            <w:r w:rsidRPr="00305D4F">
              <w:rPr>
                <w:sz w:val="24"/>
                <w:szCs w:val="24"/>
              </w:rPr>
              <w:t>26</w:t>
            </w:r>
          </w:p>
        </w:tc>
      </w:tr>
      <w:tr w:rsidR="00305D4F" w:rsidRPr="00305D4F" w:rsidTr="00FA796D">
        <w:trPr>
          <w:trHeight w:val="300"/>
        </w:trPr>
        <w:tc>
          <w:tcPr>
            <w:tcW w:w="1162" w:type="dxa"/>
            <w:noWrap/>
            <w:hideMark/>
          </w:tcPr>
          <w:p w:rsidR="00305D4F" w:rsidRPr="00305D4F" w:rsidRDefault="00305D4F">
            <w:pPr>
              <w:rPr>
                <w:sz w:val="24"/>
                <w:szCs w:val="24"/>
              </w:rPr>
            </w:pPr>
            <w:r w:rsidRPr="00305D4F">
              <w:rPr>
                <w:sz w:val="24"/>
                <w:szCs w:val="24"/>
              </w:rPr>
              <w:t>Solar</w:t>
            </w:r>
          </w:p>
        </w:tc>
        <w:tc>
          <w:tcPr>
            <w:tcW w:w="3445" w:type="dxa"/>
            <w:noWrap/>
            <w:hideMark/>
          </w:tcPr>
          <w:p w:rsidR="00305D4F" w:rsidRPr="00305D4F" w:rsidRDefault="00305D4F" w:rsidP="00083E23">
            <w:pPr>
              <w:jc w:val="center"/>
              <w:rPr>
                <w:sz w:val="24"/>
                <w:szCs w:val="24"/>
              </w:rPr>
            </w:pPr>
            <w:r w:rsidRPr="00305D4F">
              <w:rPr>
                <w:sz w:val="24"/>
                <w:szCs w:val="24"/>
              </w:rPr>
              <w:t>0</w:t>
            </w:r>
          </w:p>
        </w:tc>
        <w:tc>
          <w:tcPr>
            <w:tcW w:w="1711" w:type="dxa"/>
            <w:noWrap/>
            <w:hideMark/>
          </w:tcPr>
          <w:p w:rsidR="00305D4F" w:rsidRPr="00305D4F" w:rsidRDefault="00305D4F" w:rsidP="00083E23">
            <w:pPr>
              <w:jc w:val="center"/>
              <w:rPr>
                <w:sz w:val="24"/>
                <w:szCs w:val="24"/>
              </w:rPr>
            </w:pPr>
            <w:r w:rsidRPr="00305D4F">
              <w:rPr>
                <w:sz w:val="24"/>
                <w:szCs w:val="24"/>
              </w:rPr>
              <w:t>0.0%</w:t>
            </w:r>
          </w:p>
        </w:tc>
        <w:tc>
          <w:tcPr>
            <w:tcW w:w="1757" w:type="dxa"/>
            <w:noWrap/>
            <w:hideMark/>
          </w:tcPr>
          <w:p w:rsidR="00305D4F" w:rsidRPr="00305D4F" w:rsidRDefault="00305D4F" w:rsidP="00083E23">
            <w:pPr>
              <w:jc w:val="center"/>
              <w:rPr>
                <w:sz w:val="24"/>
                <w:szCs w:val="24"/>
              </w:rPr>
            </w:pPr>
            <w:r w:rsidRPr="00305D4F">
              <w:rPr>
                <w:sz w:val="24"/>
                <w:szCs w:val="24"/>
              </w:rPr>
              <w:t>0</w:t>
            </w:r>
          </w:p>
        </w:tc>
        <w:tc>
          <w:tcPr>
            <w:tcW w:w="1501" w:type="dxa"/>
            <w:noWrap/>
            <w:hideMark/>
          </w:tcPr>
          <w:p w:rsidR="00305D4F" w:rsidRPr="00305D4F" w:rsidRDefault="00305D4F" w:rsidP="00083E23">
            <w:pPr>
              <w:jc w:val="center"/>
              <w:rPr>
                <w:sz w:val="24"/>
                <w:szCs w:val="24"/>
              </w:rPr>
            </w:pPr>
            <w:r w:rsidRPr="00305D4F">
              <w:rPr>
                <w:sz w:val="24"/>
                <w:szCs w:val="24"/>
              </w:rPr>
              <w:t>0</w:t>
            </w:r>
          </w:p>
        </w:tc>
      </w:tr>
      <w:tr w:rsidR="00305D4F" w:rsidRPr="00305D4F" w:rsidTr="00FA796D">
        <w:trPr>
          <w:trHeight w:val="300"/>
        </w:trPr>
        <w:tc>
          <w:tcPr>
            <w:tcW w:w="1162" w:type="dxa"/>
            <w:noWrap/>
            <w:hideMark/>
          </w:tcPr>
          <w:p w:rsidR="00305D4F" w:rsidRPr="00305D4F" w:rsidRDefault="00305D4F">
            <w:pPr>
              <w:rPr>
                <w:sz w:val="24"/>
                <w:szCs w:val="24"/>
              </w:rPr>
            </w:pPr>
            <w:r w:rsidRPr="00305D4F">
              <w:rPr>
                <w:sz w:val="24"/>
                <w:szCs w:val="24"/>
              </w:rPr>
              <w:t>Other</w:t>
            </w:r>
          </w:p>
        </w:tc>
        <w:tc>
          <w:tcPr>
            <w:tcW w:w="3445" w:type="dxa"/>
            <w:noWrap/>
            <w:hideMark/>
          </w:tcPr>
          <w:p w:rsidR="00305D4F" w:rsidRPr="00305D4F" w:rsidRDefault="00083E23" w:rsidP="00083E23">
            <w:pPr>
              <w:jc w:val="center"/>
              <w:rPr>
                <w:sz w:val="24"/>
                <w:szCs w:val="24"/>
              </w:rPr>
            </w:pPr>
            <w:r>
              <w:rPr>
                <w:sz w:val="24"/>
                <w:szCs w:val="24"/>
              </w:rPr>
              <w:t>16</w:t>
            </w:r>
          </w:p>
        </w:tc>
        <w:tc>
          <w:tcPr>
            <w:tcW w:w="1711" w:type="dxa"/>
            <w:noWrap/>
            <w:hideMark/>
          </w:tcPr>
          <w:p w:rsidR="00305D4F" w:rsidRPr="00305D4F" w:rsidRDefault="00083E23" w:rsidP="00083E23">
            <w:pPr>
              <w:jc w:val="center"/>
              <w:rPr>
                <w:sz w:val="24"/>
                <w:szCs w:val="24"/>
              </w:rPr>
            </w:pPr>
            <w:r>
              <w:rPr>
                <w:sz w:val="24"/>
                <w:szCs w:val="24"/>
              </w:rPr>
              <w:t>1.4</w:t>
            </w:r>
            <w:r w:rsidR="00305D4F" w:rsidRPr="00305D4F">
              <w:rPr>
                <w:sz w:val="24"/>
                <w:szCs w:val="24"/>
              </w:rPr>
              <w:t>%</w:t>
            </w:r>
          </w:p>
        </w:tc>
        <w:tc>
          <w:tcPr>
            <w:tcW w:w="1757" w:type="dxa"/>
            <w:noWrap/>
            <w:hideMark/>
          </w:tcPr>
          <w:p w:rsidR="00305D4F" w:rsidRPr="00305D4F" w:rsidRDefault="00083E23" w:rsidP="00083E23">
            <w:pPr>
              <w:jc w:val="center"/>
              <w:rPr>
                <w:sz w:val="24"/>
                <w:szCs w:val="24"/>
              </w:rPr>
            </w:pPr>
            <w:r>
              <w:rPr>
                <w:sz w:val="24"/>
                <w:szCs w:val="24"/>
              </w:rPr>
              <w:t>1,540,680,000</w:t>
            </w:r>
          </w:p>
        </w:tc>
        <w:tc>
          <w:tcPr>
            <w:tcW w:w="1501" w:type="dxa"/>
            <w:noWrap/>
            <w:hideMark/>
          </w:tcPr>
          <w:p w:rsidR="00305D4F" w:rsidRPr="00305D4F" w:rsidRDefault="00083E23" w:rsidP="00083E23">
            <w:pPr>
              <w:jc w:val="center"/>
              <w:rPr>
                <w:sz w:val="24"/>
                <w:szCs w:val="24"/>
              </w:rPr>
            </w:pPr>
            <w:r>
              <w:rPr>
                <w:sz w:val="24"/>
                <w:szCs w:val="24"/>
              </w:rPr>
              <w:t>2</w:t>
            </w:r>
          </w:p>
        </w:tc>
      </w:tr>
      <w:tr w:rsidR="00305D4F" w:rsidRPr="00305D4F" w:rsidTr="00FA796D">
        <w:trPr>
          <w:trHeight w:val="300"/>
        </w:trPr>
        <w:tc>
          <w:tcPr>
            <w:tcW w:w="1162" w:type="dxa"/>
            <w:noWrap/>
            <w:hideMark/>
          </w:tcPr>
          <w:p w:rsidR="00305D4F" w:rsidRPr="00305D4F" w:rsidRDefault="00305D4F">
            <w:pPr>
              <w:rPr>
                <w:sz w:val="24"/>
                <w:szCs w:val="24"/>
              </w:rPr>
            </w:pPr>
            <w:r w:rsidRPr="00305D4F">
              <w:rPr>
                <w:sz w:val="24"/>
                <w:szCs w:val="24"/>
              </w:rPr>
              <w:t>No Fuel</w:t>
            </w:r>
          </w:p>
        </w:tc>
        <w:tc>
          <w:tcPr>
            <w:tcW w:w="3445" w:type="dxa"/>
            <w:noWrap/>
            <w:hideMark/>
          </w:tcPr>
          <w:p w:rsidR="00305D4F" w:rsidRPr="00305D4F" w:rsidRDefault="00083E23" w:rsidP="00083E23">
            <w:pPr>
              <w:jc w:val="center"/>
              <w:rPr>
                <w:sz w:val="24"/>
                <w:szCs w:val="24"/>
              </w:rPr>
            </w:pPr>
            <w:r>
              <w:rPr>
                <w:sz w:val="24"/>
                <w:szCs w:val="24"/>
              </w:rPr>
              <w:t>0</w:t>
            </w:r>
          </w:p>
        </w:tc>
        <w:tc>
          <w:tcPr>
            <w:tcW w:w="1711" w:type="dxa"/>
            <w:noWrap/>
            <w:hideMark/>
          </w:tcPr>
          <w:p w:rsidR="00305D4F" w:rsidRPr="00305D4F" w:rsidRDefault="00083E23" w:rsidP="00083E23">
            <w:pPr>
              <w:jc w:val="center"/>
              <w:rPr>
                <w:sz w:val="24"/>
                <w:szCs w:val="24"/>
              </w:rPr>
            </w:pPr>
            <w:r>
              <w:rPr>
                <w:sz w:val="24"/>
                <w:szCs w:val="24"/>
              </w:rPr>
              <w:t>0.0</w:t>
            </w:r>
            <w:r w:rsidR="00305D4F" w:rsidRPr="00305D4F">
              <w:rPr>
                <w:sz w:val="24"/>
                <w:szCs w:val="24"/>
              </w:rPr>
              <w:t>%</w:t>
            </w:r>
          </w:p>
        </w:tc>
        <w:tc>
          <w:tcPr>
            <w:tcW w:w="1757" w:type="dxa"/>
            <w:noWrap/>
            <w:hideMark/>
          </w:tcPr>
          <w:p w:rsidR="00305D4F" w:rsidRPr="00305D4F" w:rsidRDefault="00083E23" w:rsidP="00083E23">
            <w:pPr>
              <w:jc w:val="center"/>
              <w:rPr>
                <w:sz w:val="24"/>
                <w:szCs w:val="24"/>
              </w:rPr>
            </w:pPr>
            <w:r>
              <w:rPr>
                <w:sz w:val="24"/>
                <w:szCs w:val="24"/>
              </w:rPr>
              <w:t>0</w:t>
            </w:r>
          </w:p>
        </w:tc>
        <w:tc>
          <w:tcPr>
            <w:tcW w:w="1501" w:type="dxa"/>
            <w:noWrap/>
            <w:hideMark/>
          </w:tcPr>
          <w:p w:rsidR="00305D4F" w:rsidRPr="00305D4F" w:rsidRDefault="00083E23" w:rsidP="00083E23">
            <w:pPr>
              <w:jc w:val="center"/>
              <w:rPr>
                <w:sz w:val="24"/>
                <w:szCs w:val="24"/>
              </w:rPr>
            </w:pPr>
            <w:r>
              <w:rPr>
                <w:sz w:val="24"/>
                <w:szCs w:val="24"/>
              </w:rPr>
              <w:t>0</w:t>
            </w:r>
          </w:p>
        </w:tc>
      </w:tr>
      <w:tr w:rsidR="00DE486E" w:rsidRPr="00305D4F" w:rsidTr="00FA796D">
        <w:trPr>
          <w:trHeight w:val="300"/>
        </w:trPr>
        <w:tc>
          <w:tcPr>
            <w:tcW w:w="1162" w:type="dxa"/>
            <w:noWrap/>
          </w:tcPr>
          <w:p w:rsidR="00DE486E" w:rsidRPr="00DE486E" w:rsidRDefault="00DE486E">
            <w:pPr>
              <w:rPr>
                <w:b/>
                <w:sz w:val="24"/>
                <w:szCs w:val="24"/>
              </w:rPr>
            </w:pPr>
            <w:r w:rsidRPr="00DE486E">
              <w:rPr>
                <w:b/>
                <w:sz w:val="24"/>
                <w:szCs w:val="24"/>
              </w:rPr>
              <w:t>Total</w:t>
            </w:r>
          </w:p>
        </w:tc>
        <w:tc>
          <w:tcPr>
            <w:tcW w:w="3445" w:type="dxa"/>
            <w:noWrap/>
          </w:tcPr>
          <w:p w:rsidR="00DE486E" w:rsidRPr="00DE486E" w:rsidRDefault="00DE486E" w:rsidP="00083E23">
            <w:pPr>
              <w:jc w:val="center"/>
              <w:rPr>
                <w:b/>
                <w:sz w:val="24"/>
                <w:szCs w:val="24"/>
              </w:rPr>
            </w:pPr>
            <w:r w:rsidRPr="00DE486E">
              <w:rPr>
                <w:b/>
                <w:sz w:val="24"/>
                <w:szCs w:val="24"/>
              </w:rPr>
              <w:t>1185</w:t>
            </w:r>
          </w:p>
        </w:tc>
        <w:tc>
          <w:tcPr>
            <w:tcW w:w="1711" w:type="dxa"/>
            <w:noWrap/>
          </w:tcPr>
          <w:p w:rsidR="00DE486E" w:rsidRPr="00DE486E" w:rsidRDefault="00DE486E" w:rsidP="00083E23">
            <w:pPr>
              <w:jc w:val="center"/>
              <w:rPr>
                <w:b/>
                <w:sz w:val="24"/>
                <w:szCs w:val="24"/>
              </w:rPr>
            </w:pPr>
            <w:r w:rsidRPr="00DE486E">
              <w:rPr>
                <w:b/>
                <w:sz w:val="24"/>
                <w:szCs w:val="24"/>
              </w:rPr>
              <w:t>100.0%</w:t>
            </w:r>
          </w:p>
        </w:tc>
        <w:tc>
          <w:tcPr>
            <w:tcW w:w="1757" w:type="dxa"/>
            <w:noWrap/>
          </w:tcPr>
          <w:p w:rsidR="00DE486E" w:rsidRPr="00DE486E" w:rsidRDefault="00DE486E" w:rsidP="00083E23">
            <w:pPr>
              <w:jc w:val="center"/>
              <w:rPr>
                <w:b/>
                <w:sz w:val="24"/>
                <w:szCs w:val="24"/>
              </w:rPr>
            </w:pPr>
            <w:r w:rsidRPr="00DE486E">
              <w:rPr>
                <w:b/>
                <w:sz w:val="24"/>
                <w:szCs w:val="24"/>
              </w:rPr>
              <w:t>114,447,960,000</w:t>
            </w:r>
          </w:p>
        </w:tc>
        <w:tc>
          <w:tcPr>
            <w:tcW w:w="1501" w:type="dxa"/>
            <w:noWrap/>
          </w:tcPr>
          <w:p w:rsidR="00DE486E" w:rsidRPr="00DE486E" w:rsidRDefault="00DE486E" w:rsidP="00083E23">
            <w:pPr>
              <w:jc w:val="center"/>
              <w:rPr>
                <w:b/>
                <w:sz w:val="24"/>
                <w:szCs w:val="24"/>
              </w:rPr>
            </w:pPr>
            <w:r w:rsidRPr="00DE486E">
              <w:rPr>
                <w:b/>
                <w:sz w:val="24"/>
                <w:szCs w:val="24"/>
              </w:rPr>
              <w:t>114</w:t>
            </w:r>
          </w:p>
        </w:tc>
      </w:tr>
    </w:tbl>
    <w:p w:rsidR="00CA50D5" w:rsidRPr="005F720D" w:rsidRDefault="00DE486E" w:rsidP="00CA50D5">
      <w:pPr>
        <w:pStyle w:val="NormalWeb"/>
        <w:rPr>
          <w:rFonts w:asciiTheme="minorHAnsi" w:eastAsiaTheme="minorHAnsi" w:hAnsiTheme="minorHAnsi" w:cstheme="minorBidi"/>
          <w:sz w:val="22"/>
          <w:szCs w:val="22"/>
        </w:rPr>
      </w:pPr>
      <w:r w:rsidRPr="005F720D">
        <w:rPr>
          <w:rFonts w:asciiTheme="minorHAnsi" w:eastAsiaTheme="minorHAnsi" w:hAnsiTheme="minorHAnsi" w:cstheme="minorBidi"/>
          <w:noProof/>
          <w:sz w:val="22"/>
          <w:szCs w:val="22"/>
        </w:rPr>
        <mc:AlternateContent>
          <mc:Choice Requires="wps">
            <w:drawing>
              <wp:anchor distT="45720" distB="45720" distL="114300" distR="114300" simplePos="0" relativeHeight="251657728" behindDoc="1" locked="0" layoutInCell="1" allowOverlap="1">
                <wp:simplePos x="0" y="0"/>
                <wp:positionH relativeFrom="column">
                  <wp:posOffset>-133350</wp:posOffset>
                </wp:positionH>
                <wp:positionV relativeFrom="paragraph">
                  <wp:posOffset>305435</wp:posOffset>
                </wp:positionV>
                <wp:extent cx="3888740" cy="2733675"/>
                <wp:effectExtent l="0" t="0" r="16510" b="14605"/>
                <wp:wrapTight wrapText="bothSides">
                  <wp:wrapPolygon edited="0">
                    <wp:start x="0" y="0"/>
                    <wp:lineTo x="0" y="21557"/>
                    <wp:lineTo x="21586" y="21557"/>
                    <wp:lineTo x="21586"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2733675"/>
                        </a:xfrm>
                        <a:prstGeom prst="rect">
                          <a:avLst/>
                        </a:prstGeom>
                        <a:solidFill>
                          <a:srgbClr val="FFFFFF"/>
                        </a:solidFill>
                        <a:ln w="9525">
                          <a:solidFill>
                            <a:srgbClr val="000000"/>
                          </a:solidFill>
                          <a:miter lim="800000"/>
                          <a:headEnd/>
                          <a:tailEnd/>
                        </a:ln>
                      </wps:spPr>
                      <wps:txbx>
                        <w:txbxContent>
                          <w:p w:rsidR="00393CD3" w:rsidRDefault="00393CD3" w:rsidP="00CA50D5">
                            <w:pPr>
                              <w:jc w:val="center"/>
                              <w:rPr>
                                <w:noProof/>
                              </w:rPr>
                            </w:pPr>
                            <w:r w:rsidRPr="00CB4DFC">
                              <w:rPr>
                                <w:noProof/>
                              </w:rPr>
                              <w:drawing>
                                <wp:inline distT="0" distB="0" distL="0" distR="0">
                                  <wp:extent cx="1673352" cy="374904"/>
                                  <wp:effectExtent l="0" t="0" r="3175" b="6350"/>
                                  <wp:docPr id="10" name="Picture 10" descr="http://capstonevt.org/sites/default/files/CapstoneLogoBig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pstonevt.org/sites/default/files/CapstoneLogoBigg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3352" cy="374904"/>
                                          </a:xfrm>
                                          <a:prstGeom prst="rect">
                                            <a:avLst/>
                                          </a:prstGeom>
                                          <a:noFill/>
                                          <a:ln>
                                            <a:noFill/>
                                          </a:ln>
                                        </pic:spPr>
                                      </pic:pic>
                                    </a:graphicData>
                                  </a:graphic>
                                </wp:inline>
                              </w:drawing>
                            </w:r>
                          </w:p>
                          <w:p w:rsidR="00393CD3" w:rsidRPr="00C242D4" w:rsidRDefault="00393CD3" w:rsidP="00DE486E">
                            <w:pPr>
                              <w:spacing w:after="0" w:line="240" w:lineRule="auto"/>
                              <w:rPr>
                                <w:rFonts w:ascii="Calibri" w:hAnsi="Calibri" w:cs="Calibri"/>
                                <w:sz w:val="18"/>
                                <w:szCs w:val="18"/>
                              </w:rPr>
                            </w:pPr>
                            <w:r w:rsidRPr="00C242D4">
                              <w:rPr>
                                <w:rFonts w:ascii="Calibri" w:hAnsi="Calibri" w:cs="Calibri"/>
                                <w:sz w:val="18"/>
                                <w:szCs w:val="18"/>
                              </w:rPr>
                              <w:t>Capstone’s Weatherization programs:</w:t>
                            </w:r>
                          </w:p>
                          <w:p w:rsidR="00393CD3" w:rsidRPr="00C242D4" w:rsidRDefault="00393CD3" w:rsidP="00DE486E">
                            <w:pPr>
                              <w:numPr>
                                <w:ilvl w:val="0"/>
                                <w:numId w:val="7"/>
                              </w:numPr>
                              <w:spacing w:after="0" w:line="240" w:lineRule="auto"/>
                              <w:rPr>
                                <w:rFonts w:ascii="Calibri" w:hAnsi="Calibri" w:cs="Calibri"/>
                                <w:sz w:val="18"/>
                                <w:szCs w:val="18"/>
                              </w:rPr>
                            </w:pPr>
                            <w:r w:rsidRPr="00C242D4">
                              <w:rPr>
                                <w:rFonts w:ascii="Calibri" w:hAnsi="Calibri" w:cs="Calibri"/>
                                <w:sz w:val="18"/>
                                <w:szCs w:val="18"/>
                              </w:rPr>
                              <w:t>Decrease a home’s energy consumption</w:t>
                            </w:r>
                          </w:p>
                          <w:p w:rsidR="00393CD3" w:rsidRPr="00C242D4" w:rsidRDefault="00393CD3" w:rsidP="00CA50D5">
                            <w:pPr>
                              <w:numPr>
                                <w:ilvl w:val="0"/>
                                <w:numId w:val="7"/>
                              </w:numPr>
                              <w:spacing w:after="0" w:line="240" w:lineRule="auto"/>
                              <w:rPr>
                                <w:rFonts w:ascii="Calibri" w:hAnsi="Calibri" w:cs="Calibri"/>
                                <w:sz w:val="18"/>
                                <w:szCs w:val="18"/>
                              </w:rPr>
                            </w:pPr>
                            <w:r w:rsidRPr="00C242D4">
                              <w:rPr>
                                <w:rFonts w:ascii="Calibri" w:hAnsi="Calibri" w:cs="Calibri"/>
                                <w:sz w:val="18"/>
                                <w:szCs w:val="18"/>
                              </w:rPr>
                              <w:t>Reduce a client’s carbon footprint</w:t>
                            </w:r>
                          </w:p>
                          <w:p w:rsidR="00393CD3" w:rsidRPr="00C242D4" w:rsidRDefault="00393CD3" w:rsidP="00CA50D5">
                            <w:pPr>
                              <w:numPr>
                                <w:ilvl w:val="0"/>
                                <w:numId w:val="7"/>
                              </w:numPr>
                              <w:spacing w:after="0" w:line="240" w:lineRule="auto"/>
                              <w:rPr>
                                <w:rFonts w:ascii="Calibri" w:hAnsi="Calibri" w:cs="Calibri"/>
                                <w:sz w:val="18"/>
                                <w:szCs w:val="18"/>
                              </w:rPr>
                            </w:pPr>
                            <w:r w:rsidRPr="00C242D4">
                              <w:rPr>
                                <w:rFonts w:ascii="Calibri" w:hAnsi="Calibri" w:cs="Calibri"/>
                                <w:sz w:val="18"/>
                                <w:szCs w:val="18"/>
                              </w:rPr>
                              <w:t>Save a household money</w:t>
                            </w:r>
                          </w:p>
                          <w:p w:rsidR="00393CD3" w:rsidRPr="00C242D4" w:rsidRDefault="00393CD3" w:rsidP="00CA50D5">
                            <w:pPr>
                              <w:numPr>
                                <w:ilvl w:val="0"/>
                                <w:numId w:val="7"/>
                              </w:numPr>
                              <w:spacing w:after="0" w:line="240" w:lineRule="auto"/>
                              <w:rPr>
                                <w:rFonts w:ascii="Calibri" w:hAnsi="Calibri" w:cs="Calibri"/>
                                <w:sz w:val="18"/>
                                <w:szCs w:val="18"/>
                              </w:rPr>
                            </w:pPr>
                            <w:r w:rsidRPr="00C242D4">
                              <w:rPr>
                                <w:rFonts w:ascii="Calibri" w:hAnsi="Calibri" w:cs="Calibri"/>
                                <w:sz w:val="18"/>
                                <w:szCs w:val="18"/>
                              </w:rPr>
                              <w:t>Show homeowner’s how they can save energy</w:t>
                            </w:r>
                          </w:p>
                          <w:p w:rsidR="00393CD3" w:rsidRPr="00C242D4" w:rsidRDefault="00393CD3" w:rsidP="00CA50D5">
                            <w:pPr>
                              <w:numPr>
                                <w:ilvl w:val="0"/>
                                <w:numId w:val="7"/>
                              </w:numPr>
                              <w:spacing w:after="0" w:line="240" w:lineRule="auto"/>
                              <w:rPr>
                                <w:rFonts w:ascii="Calibri" w:hAnsi="Calibri" w:cs="Calibri"/>
                                <w:sz w:val="18"/>
                                <w:szCs w:val="18"/>
                              </w:rPr>
                            </w:pPr>
                            <w:r w:rsidRPr="00C242D4">
                              <w:rPr>
                                <w:rFonts w:ascii="Calibri" w:hAnsi="Calibri" w:cs="Calibri"/>
                                <w:sz w:val="18"/>
                                <w:szCs w:val="18"/>
                              </w:rPr>
                              <w:t>Increase comfort</w:t>
                            </w:r>
                          </w:p>
                          <w:p w:rsidR="00393CD3" w:rsidRPr="00C242D4" w:rsidRDefault="00393CD3" w:rsidP="00CA50D5">
                            <w:pPr>
                              <w:numPr>
                                <w:ilvl w:val="0"/>
                                <w:numId w:val="7"/>
                              </w:numPr>
                              <w:spacing w:after="0" w:line="240" w:lineRule="auto"/>
                              <w:rPr>
                                <w:rFonts w:ascii="Calibri" w:hAnsi="Calibri" w:cs="Calibri"/>
                                <w:sz w:val="18"/>
                                <w:szCs w:val="18"/>
                              </w:rPr>
                            </w:pPr>
                            <w:r w:rsidRPr="00C242D4">
                              <w:rPr>
                                <w:rFonts w:ascii="Calibri" w:hAnsi="Calibri" w:cs="Calibri"/>
                                <w:sz w:val="18"/>
                                <w:szCs w:val="18"/>
                              </w:rPr>
                              <w:t>Increase property value</w:t>
                            </w:r>
                          </w:p>
                          <w:p w:rsidR="00393CD3" w:rsidRDefault="00393CD3" w:rsidP="00CA50D5">
                            <w:r w:rsidRPr="00C242D4">
                              <w:rPr>
                                <w:rFonts w:ascii="Calibri" w:hAnsi="Calibri" w:cs="Calibri"/>
                                <w:sz w:val="18"/>
                                <w:szCs w:val="18"/>
                              </w:rPr>
                              <w:t xml:space="preserve">Capstone </w:t>
                            </w:r>
                            <w:r>
                              <w:rPr>
                                <w:rFonts w:ascii="Calibri" w:hAnsi="Calibri" w:cs="Calibri"/>
                                <w:sz w:val="18"/>
                                <w:szCs w:val="18"/>
                              </w:rPr>
                              <w:t xml:space="preserve">can </w:t>
                            </w:r>
                            <w:r w:rsidRPr="00C242D4">
                              <w:rPr>
                                <w:rFonts w:ascii="Calibri" w:hAnsi="Calibri" w:cs="Calibri"/>
                                <w:sz w:val="18"/>
                                <w:szCs w:val="18"/>
                              </w:rPr>
                              <w:t>perform energy savings renovations to stop heat from leaking out building</w:t>
                            </w:r>
                            <w:r>
                              <w:rPr>
                                <w:rFonts w:ascii="Calibri" w:hAnsi="Calibri" w:cs="Calibri"/>
                                <w:sz w:val="18"/>
                                <w:szCs w:val="18"/>
                              </w:rPr>
                              <w:t>s</w:t>
                            </w:r>
                            <w:r w:rsidRPr="00C242D4">
                              <w:rPr>
                                <w:rFonts w:ascii="Calibri" w:hAnsi="Calibri" w:cs="Calibri"/>
                                <w:sz w:val="18"/>
                                <w:szCs w:val="18"/>
                              </w:rPr>
                              <w:t xml:space="preserve"> and reducing the loss of heat through the walls and roofs of your home (also known as weatherization).  For income qualified individuals there is no charge through </w:t>
                            </w:r>
                            <w:r>
                              <w:rPr>
                                <w:rFonts w:ascii="Calibri" w:hAnsi="Calibri" w:cs="Calibri"/>
                                <w:sz w:val="18"/>
                                <w:szCs w:val="18"/>
                              </w:rPr>
                              <w:t>the</w:t>
                            </w:r>
                            <w:r w:rsidRPr="00C242D4">
                              <w:rPr>
                                <w:rFonts w:ascii="Calibri" w:hAnsi="Calibri" w:cs="Calibri"/>
                                <w:sz w:val="18"/>
                                <w:szCs w:val="18"/>
                              </w:rPr>
                              <w:t> </w:t>
                            </w:r>
                            <w:r w:rsidRPr="00C242D4">
                              <w:rPr>
                                <w:rFonts w:ascii="Calibri" w:hAnsi="Calibri" w:cs="Calibri"/>
                                <w:b/>
                                <w:bCs/>
                                <w:sz w:val="18"/>
                                <w:szCs w:val="18"/>
                              </w:rPr>
                              <w:t>Weatherization Assistance Program</w:t>
                            </w:r>
                            <w:r w:rsidRPr="00C242D4">
                              <w:rPr>
                                <w:rFonts w:ascii="Calibri" w:hAnsi="Calibri" w:cs="Calibri"/>
                                <w:sz w:val="18"/>
                                <w:szCs w:val="18"/>
                              </w:rPr>
                              <w:t xml:space="preserve">. </w:t>
                            </w:r>
                            <w:r>
                              <w:rPr>
                                <w:rFonts w:ascii="Calibri" w:hAnsi="Calibri" w:cs="Calibri"/>
                                <w:sz w:val="18"/>
                                <w:szCs w:val="18"/>
                              </w:rPr>
                              <w:t xml:space="preserve">For those that </w:t>
                            </w:r>
                            <w:r w:rsidRPr="00C242D4">
                              <w:rPr>
                                <w:rFonts w:ascii="Calibri" w:hAnsi="Calibri" w:cs="Calibri"/>
                                <w:sz w:val="18"/>
                                <w:szCs w:val="18"/>
                              </w:rPr>
                              <w:t xml:space="preserve">do not qualify under the no-cost program, </w:t>
                            </w:r>
                            <w:r>
                              <w:rPr>
                                <w:rFonts w:ascii="Calibri" w:hAnsi="Calibri" w:cs="Calibri"/>
                                <w:sz w:val="18"/>
                                <w:szCs w:val="18"/>
                              </w:rPr>
                              <w:t xml:space="preserve">Capstone </w:t>
                            </w:r>
                            <w:r w:rsidRPr="00C242D4">
                              <w:rPr>
                                <w:rFonts w:ascii="Calibri" w:hAnsi="Calibri" w:cs="Calibri"/>
                                <w:sz w:val="18"/>
                                <w:szCs w:val="18"/>
                              </w:rPr>
                              <w:t>can still help through </w:t>
                            </w:r>
                            <w:r>
                              <w:rPr>
                                <w:rFonts w:ascii="Calibri" w:hAnsi="Calibri" w:cs="Calibri"/>
                                <w:sz w:val="18"/>
                                <w:szCs w:val="18"/>
                              </w:rPr>
                              <w:t xml:space="preserve">the </w:t>
                            </w:r>
                            <w:proofErr w:type="spellStart"/>
                            <w:r w:rsidRPr="00C242D4">
                              <w:rPr>
                                <w:rFonts w:ascii="Calibri" w:hAnsi="Calibri" w:cs="Calibri"/>
                                <w:b/>
                                <w:bCs/>
                                <w:sz w:val="18"/>
                                <w:szCs w:val="18"/>
                              </w:rPr>
                              <w:t>EnergySmar</w:t>
                            </w:r>
                            <w:r>
                              <w:rPr>
                                <w:rFonts w:ascii="Calibri" w:hAnsi="Calibri" w:cs="Calibri"/>
                                <w:b/>
                                <w:bCs/>
                                <w:sz w:val="18"/>
                                <w:szCs w:val="18"/>
                              </w:rPr>
                              <w:t>t</w:t>
                            </w:r>
                            <w:proofErr w:type="spellEnd"/>
                            <w:r>
                              <w:rPr>
                                <w:rFonts w:ascii="Calibri" w:hAnsi="Calibri" w:cs="Calibri"/>
                                <w:b/>
                                <w:bCs/>
                                <w:sz w:val="18"/>
                                <w:szCs w:val="18"/>
                              </w:rPr>
                              <w:t xml:space="preserve"> program</w:t>
                            </w:r>
                            <w:r w:rsidRPr="00C242D4">
                              <w:rPr>
                                <w:rFonts w:ascii="Calibri" w:hAnsi="Calibri" w:cs="Calibri"/>
                                <w:sz w:val="18"/>
                                <w:szCs w:val="18"/>
                              </w:rPr>
                              <w:t>.  Capstone offer</w:t>
                            </w:r>
                            <w:r>
                              <w:rPr>
                                <w:rFonts w:ascii="Calibri" w:hAnsi="Calibri" w:cs="Calibri"/>
                                <w:sz w:val="18"/>
                                <w:szCs w:val="18"/>
                              </w:rPr>
                              <w:t>s</w:t>
                            </w:r>
                            <w:r w:rsidRPr="00C242D4">
                              <w:rPr>
                                <w:rFonts w:ascii="Calibri" w:hAnsi="Calibri" w:cs="Calibri"/>
                                <w:sz w:val="18"/>
                                <w:szCs w:val="18"/>
                              </w:rPr>
                              <w:t xml:space="preserve"> these services to all homes – from single family to multifamily households.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0.5pt;margin-top:24.05pt;width:306.2pt;height:215.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">
                <v:textbox>
                  <w:txbxContent>
                    <w:p w:rsidR="00393CD3" w:rsidRDefault="00393CD3" w:rsidP="00CA50D5">
                      <w:pPr>
                        <w:jc w:val="center"/>
                        <w:rPr>
                          <w:noProof/>
                        </w:rPr>
                      </w:pPr>
                      <w:r w:rsidRPr="00CB4DFC">
                        <w:rPr>
                          <w:noProof/>
                        </w:rPr>
                        <w:drawing>
                          <wp:inline distT="0" distB="0" distL="0" distR="0">
                            <wp:extent cx="1673352" cy="374904"/>
                            <wp:effectExtent l="0" t="0" r="3175" b="6350"/>
                            <wp:docPr id="10" name="Picture 10" descr="http://capstonevt.org/sites/default/files/CapstoneLogoBig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pstonevt.org/sites/default/files/CapstoneLogoBigg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3352" cy="374904"/>
                                    </a:xfrm>
                                    <a:prstGeom prst="rect">
                                      <a:avLst/>
                                    </a:prstGeom>
                                    <a:noFill/>
                                    <a:ln>
                                      <a:noFill/>
                                    </a:ln>
                                  </pic:spPr>
                                </pic:pic>
                              </a:graphicData>
                            </a:graphic>
                          </wp:inline>
                        </w:drawing>
                      </w:r>
                    </w:p>
                    <w:p w:rsidR="00393CD3" w:rsidRPr="00C242D4" w:rsidRDefault="00393CD3" w:rsidP="00DE486E">
                      <w:pPr>
                        <w:spacing w:after="0" w:line="240" w:lineRule="auto"/>
                        <w:rPr>
                          <w:rFonts w:ascii="Calibri" w:hAnsi="Calibri" w:cs="Calibri"/>
                          <w:sz w:val="18"/>
                          <w:szCs w:val="18"/>
                        </w:rPr>
                      </w:pPr>
                      <w:r w:rsidRPr="00C242D4">
                        <w:rPr>
                          <w:rFonts w:ascii="Calibri" w:hAnsi="Calibri" w:cs="Calibri"/>
                          <w:sz w:val="18"/>
                          <w:szCs w:val="18"/>
                        </w:rPr>
                        <w:t>Capstone’s Weatherization programs:</w:t>
                      </w:r>
                    </w:p>
                    <w:p w:rsidR="00393CD3" w:rsidRPr="00C242D4" w:rsidRDefault="00393CD3" w:rsidP="00DE486E">
                      <w:pPr>
                        <w:numPr>
                          <w:ilvl w:val="0"/>
                          <w:numId w:val="7"/>
                        </w:numPr>
                        <w:spacing w:after="0" w:line="240" w:lineRule="auto"/>
                        <w:rPr>
                          <w:rFonts w:ascii="Calibri" w:hAnsi="Calibri" w:cs="Calibri"/>
                          <w:sz w:val="18"/>
                          <w:szCs w:val="18"/>
                        </w:rPr>
                      </w:pPr>
                      <w:r w:rsidRPr="00C242D4">
                        <w:rPr>
                          <w:rFonts w:ascii="Calibri" w:hAnsi="Calibri" w:cs="Calibri"/>
                          <w:sz w:val="18"/>
                          <w:szCs w:val="18"/>
                        </w:rPr>
                        <w:t>Decrease a home’s energy consumption</w:t>
                      </w:r>
                    </w:p>
                    <w:p w:rsidR="00393CD3" w:rsidRPr="00C242D4" w:rsidRDefault="00393CD3" w:rsidP="00CA50D5">
                      <w:pPr>
                        <w:numPr>
                          <w:ilvl w:val="0"/>
                          <w:numId w:val="7"/>
                        </w:numPr>
                        <w:spacing w:after="0" w:line="240" w:lineRule="auto"/>
                        <w:rPr>
                          <w:rFonts w:ascii="Calibri" w:hAnsi="Calibri" w:cs="Calibri"/>
                          <w:sz w:val="18"/>
                          <w:szCs w:val="18"/>
                        </w:rPr>
                      </w:pPr>
                      <w:r w:rsidRPr="00C242D4">
                        <w:rPr>
                          <w:rFonts w:ascii="Calibri" w:hAnsi="Calibri" w:cs="Calibri"/>
                          <w:sz w:val="18"/>
                          <w:szCs w:val="18"/>
                        </w:rPr>
                        <w:t>Reduce a client’s carbon footprint</w:t>
                      </w:r>
                    </w:p>
                    <w:p w:rsidR="00393CD3" w:rsidRPr="00C242D4" w:rsidRDefault="00393CD3" w:rsidP="00CA50D5">
                      <w:pPr>
                        <w:numPr>
                          <w:ilvl w:val="0"/>
                          <w:numId w:val="7"/>
                        </w:numPr>
                        <w:spacing w:after="0" w:line="240" w:lineRule="auto"/>
                        <w:rPr>
                          <w:rFonts w:ascii="Calibri" w:hAnsi="Calibri" w:cs="Calibri"/>
                          <w:sz w:val="18"/>
                          <w:szCs w:val="18"/>
                        </w:rPr>
                      </w:pPr>
                      <w:r w:rsidRPr="00C242D4">
                        <w:rPr>
                          <w:rFonts w:ascii="Calibri" w:hAnsi="Calibri" w:cs="Calibri"/>
                          <w:sz w:val="18"/>
                          <w:szCs w:val="18"/>
                        </w:rPr>
                        <w:t>Save a household money</w:t>
                      </w:r>
                    </w:p>
                    <w:p w:rsidR="00393CD3" w:rsidRPr="00C242D4" w:rsidRDefault="00393CD3" w:rsidP="00CA50D5">
                      <w:pPr>
                        <w:numPr>
                          <w:ilvl w:val="0"/>
                          <w:numId w:val="7"/>
                        </w:numPr>
                        <w:spacing w:after="0" w:line="240" w:lineRule="auto"/>
                        <w:rPr>
                          <w:rFonts w:ascii="Calibri" w:hAnsi="Calibri" w:cs="Calibri"/>
                          <w:sz w:val="18"/>
                          <w:szCs w:val="18"/>
                        </w:rPr>
                      </w:pPr>
                      <w:r w:rsidRPr="00C242D4">
                        <w:rPr>
                          <w:rFonts w:ascii="Calibri" w:hAnsi="Calibri" w:cs="Calibri"/>
                          <w:sz w:val="18"/>
                          <w:szCs w:val="18"/>
                        </w:rPr>
                        <w:t>Show homeowner’s how they can save energy</w:t>
                      </w:r>
                    </w:p>
                    <w:p w:rsidR="00393CD3" w:rsidRPr="00C242D4" w:rsidRDefault="00393CD3" w:rsidP="00CA50D5">
                      <w:pPr>
                        <w:numPr>
                          <w:ilvl w:val="0"/>
                          <w:numId w:val="7"/>
                        </w:numPr>
                        <w:spacing w:after="0" w:line="240" w:lineRule="auto"/>
                        <w:rPr>
                          <w:rFonts w:ascii="Calibri" w:hAnsi="Calibri" w:cs="Calibri"/>
                          <w:sz w:val="18"/>
                          <w:szCs w:val="18"/>
                        </w:rPr>
                      </w:pPr>
                      <w:r w:rsidRPr="00C242D4">
                        <w:rPr>
                          <w:rFonts w:ascii="Calibri" w:hAnsi="Calibri" w:cs="Calibri"/>
                          <w:sz w:val="18"/>
                          <w:szCs w:val="18"/>
                        </w:rPr>
                        <w:t>Increase comfort</w:t>
                      </w:r>
                    </w:p>
                    <w:p w:rsidR="00393CD3" w:rsidRPr="00C242D4" w:rsidRDefault="00393CD3" w:rsidP="00CA50D5">
                      <w:pPr>
                        <w:numPr>
                          <w:ilvl w:val="0"/>
                          <w:numId w:val="7"/>
                        </w:numPr>
                        <w:spacing w:after="0" w:line="240" w:lineRule="auto"/>
                        <w:rPr>
                          <w:rFonts w:ascii="Calibri" w:hAnsi="Calibri" w:cs="Calibri"/>
                          <w:sz w:val="18"/>
                          <w:szCs w:val="18"/>
                        </w:rPr>
                      </w:pPr>
                      <w:r w:rsidRPr="00C242D4">
                        <w:rPr>
                          <w:rFonts w:ascii="Calibri" w:hAnsi="Calibri" w:cs="Calibri"/>
                          <w:sz w:val="18"/>
                          <w:szCs w:val="18"/>
                        </w:rPr>
                        <w:t>Increase property value</w:t>
                      </w:r>
                    </w:p>
                    <w:p w:rsidR="00393CD3" w:rsidRDefault="00393CD3" w:rsidP="00CA50D5">
                      <w:r w:rsidRPr="00C242D4">
                        <w:rPr>
                          <w:rFonts w:ascii="Calibri" w:hAnsi="Calibri" w:cs="Calibri"/>
                          <w:sz w:val="18"/>
                          <w:szCs w:val="18"/>
                        </w:rPr>
                        <w:t xml:space="preserve">Capstone </w:t>
                      </w:r>
                      <w:r>
                        <w:rPr>
                          <w:rFonts w:ascii="Calibri" w:hAnsi="Calibri" w:cs="Calibri"/>
                          <w:sz w:val="18"/>
                          <w:szCs w:val="18"/>
                        </w:rPr>
                        <w:t xml:space="preserve">can </w:t>
                      </w:r>
                      <w:r w:rsidRPr="00C242D4">
                        <w:rPr>
                          <w:rFonts w:ascii="Calibri" w:hAnsi="Calibri" w:cs="Calibri"/>
                          <w:sz w:val="18"/>
                          <w:szCs w:val="18"/>
                        </w:rPr>
                        <w:t>perform energy savings renovations to stop heat from leaking out building</w:t>
                      </w:r>
                      <w:r>
                        <w:rPr>
                          <w:rFonts w:ascii="Calibri" w:hAnsi="Calibri" w:cs="Calibri"/>
                          <w:sz w:val="18"/>
                          <w:szCs w:val="18"/>
                        </w:rPr>
                        <w:t>s</w:t>
                      </w:r>
                      <w:r w:rsidRPr="00C242D4">
                        <w:rPr>
                          <w:rFonts w:ascii="Calibri" w:hAnsi="Calibri" w:cs="Calibri"/>
                          <w:sz w:val="18"/>
                          <w:szCs w:val="18"/>
                        </w:rPr>
                        <w:t xml:space="preserve"> and reducing the loss of heat through the walls and roofs of your home (also known as weatherization).  For income qualified individuals there is no charge through </w:t>
                      </w:r>
                      <w:r>
                        <w:rPr>
                          <w:rFonts w:ascii="Calibri" w:hAnsi="Calibri" w:cs="Calibri"/>
                          <w:sz w:val="18"/>
                          <w:szCs w:val="18"/>
                        </w:rPr>
                        <w:t>the</w:t>
                      </w:r>
                      <w:r w:rsidRPr="00C242D4">
                        <w:rPr>
                          <w:rFonts w:ascii="Calibri" w:hAnsi="Calibri" w:cs="Calibri"/>
                          <w:sz w:val="18"/>
                          <w:szCs w:val="18"/>
                        </w:rPr>
                        <w:t> </w:t>
                      </w:r>
                      <w:r w:rsidRPr="00C242D4">
                        <w:rPr>
                          <w:rFonts w:ascii="Calibri" w:hAnsi="Calibri" w:cs="Calibri"/>
                          <w:b/>
                          <w:bCs/>
                          <w:sz w:val="18"/>
                          <w:szCs w:val="18"/>
                        </w:rPr>
                        <w:t>Weatherization Assistance Program</w:t>
                      </w:r>
                      <w:r w:rsidRPr="00C242D4">
                        <w:rPr>
                          <w:rFonts w:ascii="Calibri" w:hAnsi="Calibri" w:cs="Calibri"/>
                          <w:sz w:val="18"/>
                          <w:szCs w:val="18"/>
                        </w:rPr>
                        <w:t xml:space="preserve">. </w:t>
                      </w:r>
                      <w:r>
                        <w:rPr>
                          <w:rFonts w:ascii="Calibri" w:hAnsi="Calibri" w:cs="Calibri"/>
                          <w:sz w:val="18"/>
                          <w:szCs w:val="18"/>
                        </w:rPr>
                        <w:t xml:space="preserve">For those that </w:t>
                      </w:r>
                      <w:r w:rsidRPr="00C242D4">
                        <w:rPr>
                          <w:rFonts w:ascii="Calibri" w:hAnsi="Calibri" w:cs="Calibri"/>
                          <w:sz w:val="18"/>
                          <w:szCs w:val="18"/>
                        </w:rPr>
                        <w:t xml:space="preserve">do not qualify under the no-cost program, </w:t>
                      </w:r>
                      <w:r>
                        <w:rPr>
                          <w:rFonts w:ascii="Calibri" w:hAnsi="Calibri" w:cs="Calibri"/>
                          <w:sz w:val="18"/>
                          <w:szCs w:val="18"/>
                        </w:rPr>
                        <w:t xml:space="preserve">Capstone </w:t>
                      </w:r>
                      <w:r w:rsidRPr="00C242D4">
                        <w:rPr>
                          <w:rFonts w:ascii="Calibri" w:hAnsi="Calibri" w:cs="Calibri"/>
                          <w:sz w:val="18"/>
                          <w:szCs w:val="18"/>
                        </w:rPr>
                        <w:t>can still help through </w:t>
                      </w:r>
                      <w:r>
                        <w:rPr>
                          <w:rFonts w:ascii="Calibri" w:hAnsi="Calibri" w:cs="Calibri"/>
                          <w:sz w:val="18"/>
                          <w:szCs w:val="18"/>
                        </w:rPr>
                        <w:t xml:space="preserve">the </w:t>
                      </w:r>
                      <w:proofErr w:type="spellStart"/>
                      <w:r w:rsidRPr="00C242D4">
                        <w:rPr>
                          <w:rFonts w:ascii="Calibri" w:hAnsi="Calibri" w:cs="Calibri"/>
                          <w:b/>
                          <w:bCs/>
                          <w:sz w:val="18"/>
                          <w:szCs w:val="18"/>
                        </w:rPr>
                        <w:t>EnergySmar</w:t>
                      </w:r>
                      <w:r>
                        <w:rPr>
                          <w:rFonts w:ascii="Calibri" w:hAnsi="Calibri" w:cs="Calibri"/>
                          <w:b/>
                          <w:bCs/>
                          <w:sz w:val="18"/>
                          <w:szCs w:val="18"/>
                        </w:rPr>
                        <w:t>t</w:t>
                      </w:r>
                      <w:proofErr w:type="spellEnd"/>
                      <w:r>
                        <w:rPr>
                          <w:rFonts w:ascii="Calibri" w:hAnsi="Calibri" w:cs="Calibri"/>
                          <w:b/>
                          <w:bCs/>
                          <w:sz w:val="18"/>
                          <w:szCs w:val="18"/>
                        </w:rPr>
                        <w:t xml:space="preserve"> program</w:t>
                      </w:r>
                      <w:r w:rsidRPr="00C242D4">
                        <w:rPr>
                          <w:rFonts w:ascii="Calibri" w:hAnsi="Calibri" w:cs="Calibri"/>
                          <w:sz w:val="18"/>
                          <w:szCs w:val="18"/>
                        </w:rPr>
                        <w:t>.  Capstone offer</w:t>
                      </w:r>
                      <w:r>
                        <w:rPr>
                          <w:rFonts w:ascii="Calibri" w:hAnsi="Calibri" w:cs="Calibri"/>
                          <w:sz w:val="18"/>
                          <w:szCs w:val="18"/>
                        </w:rPr>
                        <w:t>s</w:t>
                      </w:r>
                      <w:r w:rsidRPr="00C242D4">
                        <w:rPr>
                          <w:rFonts w:ascii="Calibri" w:hAnsi="Calibri" w:cs="Calibri"/>
                          <w:sz w:val="18"/>
                          <w:szCs w:val="18"/>
                        </w:rPr>
                        <w:t xml:space="preserve"> these services to all homes – from single family to multifamily households.  </w:t>
                      </w:r>
                    </w:p>
                  </w:txbxContent>
                </v:textbox>
                <w10:wrap type="tight"/>
              </v:shape>
            </w:pict>
          </mc:Fallback>
        </mc:AlternateContent>
      </w:r>
      <w:r w:rsidR="00CA50D5" w:rsidRPr="005F720D">
        <w:rPr>
          <w:rFonts w:asciiTheme="minorHAnsi" w:eastAsiaTheme="minorHAnsi" w:hAnsiTheme="minorHAnsi" w:cstheme="minorBidi"/>
          <w:sz w:val="22"/>
          <w:szCs w:val="22"/>
        </w:rPr>
        <w:t>Bradford residents rely on a variety of heating sources including wood, fuel oil, propane, and natural gas. The variability in heating costs can pose financial hardships for residents. To help limited income residents with the costs of weatherization upgrades and heating costs, programs through Efficiency Vermont and Capstone Community Action agencies provide assistance (see sidebar.) There are several websites that can help homeowners make cost effective weatherization upgrades, including Efficiency Vermont (www.efficiencyvermont.com) and Smarter House (https://smarterhouse.org).</w:t>
      </w:r>
    </w:p>
    <w:p w:rsidR="005F720D" w:rsidRPr="005F720D" w:rsidRDefault="005F720D" w:rsidP="005F720D">
      <w:pPr>
        <w:autoSpaceDE w:val="0"/>
        <w:autoSpaceDN w:val="0"/>
        <w:adjustRightInd w:val="0"/>
        <w:spacing w:after="0" w:line="240" w:lineRule="auto"/>
      </w:pPr>
      <w:r w:rsidRPr="005F720D">
        <w:t xml:space="preserve">New residential development in the State of Vermont is required to comply with Vermont Residential Building Energy Standards (RBES). Commercial development is subject to similar code regulations. Some examples of the types of development the RBES applies to include detached one- and two-family dwellings, multi-family and other residential buildings three stories or fewer in height, additions, alterations, renovations and repairs and factory-built modular homes (not including mobile homes). </w:t>
      </w:r>
    </w:p>
    <w:p w:rsidR="005F720D" w:rsidRDefault="005F720D" w:rsidP="005F720D">
      <w:pPr>
        <w:autoSpaceDE w:val="0"/>
        <w:autoSpaceDN w:val="0"/>
        <w:adjustRightInd w:val="0"/>
        <w:spacing w:after="0" w:line="240" w:lineRule="auto"/>
      </w:pPr>
      <w:r w:rsidRPr="005F720D">
        <w:t xml:space="preserve">In order to comply with the RBES, a built home must meet all of the Basic Requirements and the Performance Requirements for one of several possible compliance methods. If the home meets the technical requirements of the RBES, a Vermont Residential Building Energy Standards Certificate must </w:t>
      </w:r>
      <w:r w:rsidRPr="005F720D">
        <w:lastRenderedPageBreak/>
        <w:t xml:space="preserve">be completed, filed with the Town Clerk and posted in the home. If a home required by law to meet the RBES does not comply, a homeowner may seek damages in court against the builder. </w:t>
      </w:r>
    </w:p>
    <w:p w:rsidR="008C7E4F" w:rsidRPr="005F720D" w:rsidRDefault="008C7E4F" w:rsidP="005F720D">
      <w:pPr>
        <w:autoSpaceDE w:val="0"/>
        <w:autoSpaceDN w:val="0"/>
        <w:adjustRightInd w:val="0"/>
        <w:spacing w:after="0" w:line="240" w:lineRule="auto"/>
      </w:pPr>
    </w:p>
    <w:p w:rsidR="005F720D" w:rsidRPr="005F720D" w:rsidRDefault="005F720D" w:rsidP="005F720D">
      <w:pPr>
        <w:autoSpaceDE w:val="0"/>
        <w:autoSpaceDN w:val="0"/>
        <w:adjustRightInd w:val="0"/>
        <w:spacing w:after="0" w:line="240" w:lineRule="auto"/>
        <w:rPr>
          <w:b/>
        </w:rPr>
      </w:pPr>
      <w:r w:rsidRPr="005F720D">
        <w:rPr>
          <w:b/>
        </w:rPr>
        <w:t xml:space="preserve">Efficiency Vermont </w:t>
      </w:r>
    </w:p>
    <w:p w:rsidR="00FA796D" w:rsidRDefault="005F720D" w:rsidP="005F720D">
      <w:r w:rsidRPr="005F720D">
        <w:t xml:space="preserve">Efficiency Vermont is Vermont’s statewide energy efficiency utility. The Vermont Public </w:t>
      </w:r>
      <w:r w:rsidR="008C7E4F">
        <w:t>Utility Commission</w:t>
      </w:r>
      <w:r w:rsidRPr="005F720D">
        <w:t xml:space="preserve"> and the Vermont Legislature created Efficiency Vermont in response to a request from the Vermont Department of Public Service, the state’s twenty-two electric utilities, and a dozen consumer and environmental groups. Efficiency Vermont is funded by an energy efficiency charge on a consumer’s electric bill; it is managed by the Vermont Energy Investment Corporation (VEIC), an independent non-profit energy services organization that is under contract to the Vermont </w:t>
      </w:r>
      <w:r w:rsidR="008C7E4F">
        <w:t>Public Utility Commission</w:t>
      </w:r>
      <w:r w:rsidRPr="005F720D">
        <w:t>. Efficiency Vermont helps Vermonters reduce energy costs by making their homes and businesses energy-efficient. It provides technical assistance and financial incentives to help Vermonters identify and pay for cost-effective approaches to energy-efficient building design, construction, renovation, equipment, lighting and appliances.</w:t>
      </w:r>
    </w:p>
    <w:p w:rsidR="008C7E4F" w:rsidRPr="008C7E4F" w:rsidRDefault="008C7E4F" w:rsidP="008C7E4F">
      <w:pPr>
        <w:autoSpaceDE w:val="0"/>
        <w:autoSpaceDN w:val="0"/>
        <w:adjustRightInd w:val="0"/>
        <w:spacing w:after="0" w:line="240" w:lineRule="auto"/>
        <w:rPr>
          <w:b/>
        </w:rPr>
      </w:pPr>
      <w:r w:rsidRPr="008C7E4F">
        <w:rPr>
          <w:b/>
        </w:rPr>
        <w:t xml:space="preserve">Energy Committee </w:t>
      </w:r>
    </w:p>
    <w:p w:rsidR="008C7E4F" w:rsidRDefault="008C7E4F" w:rsidP="008C7E4F">
      <w:pPr>
        <w:autoSpaceDE w:val="0"/>
        <w:autoSpaceDN w:val="0"/>
        <w:adjustRightInd w:val="0"/>
        <w:spacing w:after="0" w:line="240" w:lineRule="auto"/>
      </w:pPr>
      <w:r w:rsidRPr="008C7E4F">
        <w:t xml:space="preserve">Bradford </w:t>
      </w:r>
      <w:r w:rsidRPr="008C7E4F">
        <w:rPr>
          <w:strike/>
        </w:rPr>
        <w:t>has an active</w:t>
      </w:r>
      <w:r w:rsidRPr="008C7E4F">
        <w:t xml:space="preserve"> </w:t>
      </w:r>
      <w:r>
        <w:rPr>
          <w:u w:val="single"/>
        </w:rPr>
        <w:t xml:space="preserve">should work to revive the town </w:t>
      </w:r>
      <w:r w:rsidRPr="008C7E4F">
        <w:t xml:space="preserve">energy committee that was formed for the purpose of establishing and implementing the town’s energy goals. The work that </w:t>
      </w:r>
      <w:r w:rsidRPr="008C7E4F">
        <w:rPr>
          <w:strike/>
        </w:rPr>
        <w:t>has been</w:t>
      </w:r>
      <w:r w:rsidRPr="008C7E4F">
        <w:t xml:space="preserve"> </w:t>
      </w:r>
      <w:r>
        <w:rPr>
          <w:u w:val="single"/>
        </w:rPr>
        <w:t xml:space="preserve">was </w:t>
      </w:r>
      <w:r w:rsidRPr="008C7E4F">
        <w:t xml:space="preserve">done in partnership with the EC includes conducting energy audits on municipal buildings, tracking energy use for these buildings and providing outreach to homeowners on energy efficiency and renewable energy generation. Most importantly, an active EC can help the town and residents save money while saving energy. </w:t>
      </w:r>
    </w:p>
    <w:p w:rsidR="008C7E4F" w:rsidRPr="008C7E4F" w:rsidRDefault="008C7E4F" w:rsidP="008C7E4F">
      <w:pPr>
        <w:autoSpaceDE w:val="0"/>
        <w:autoSpaceDN w:val="0"/>
        <w:adjustRightInd w:val="0"/>
        <w:spacing w:after="0" w:line="240" w:lineRule="auto"/>
      </w:pPr>
    </w:p>
    <w:p w:rsidR="008C7E4F" w:rsidRPr="008C7E4F" w:rsidRDefault="008C7E4F" w:rsidP="008C7E4F">
      <w:pPr>
        <w:autoSpaceDE w:val="0"/>
        <w:autoSpaceDN w:val="0"/>
        <w:adjustRightInd w:val="0"/>
        <w:spacing w:after="0" w:line="240" w:lineRule="auto"/>
        <w:rPr>
          <w:b/>
        </w:rPr>
      </w:pPr>
      <w:r w:rsidRPr="008C7E4F">
        <w:rPr>
          <w:b/>
        </w:rPr>
        <w:t xml:space="preserve">Auditing Municipally Owned Buildings </w:t>
      </w:r>
    </w:p>
    <w:p w:rsidR="008C7E4F" w:rsidRDefault="008C7E4F" w:rsidP="008C7E4F">
      <w:r w:rsidRPr="008C7E4F">
        <w:t>Many towns in Vermont own buildings that are old and inefficient in many respects. For instance, older buildings often have insufficient insulation, wasteful heating and cooling systems, and out-of-date lighting. These kinds of infrastructure problems result in higher energy use with the resulting cost passed onto taxpayers. Bradford has implemented energy conservation methods that have resulted in reduced fuel consumption and is continuing to look for opportunities to conserve.</w:t>
      </w:r>
    </w:p>
    <w:p w:rsidR="00B53EA6" w:rsidRDefault="00B53EA6">
      <w:pPr>
        <w:rPr>
          <w:sz w:val="28"/>
          <w:szCs w:val="28"/>
        </w:rPr>
      </w:pPr>
      <w:r>
        <w:t>Table E is an estimate of the heating energy used in commercial establishments in Bradford with all fuel sources combined</w:t>
      </w:r>
    </w:p>
    <w:tbl>
      <w:tblPr>
        <w:tblStyle w:val="TableGrid"/>
        <w:tblW w:w="0" w:type="auto"/>
        <w:tblLook w:val="04A0" w:firstRow="1" w:lastRow="0" w:firstColumn="1" w:lastColumn="0" w:noHBand="0" w:noVBand="1"/>
      </w:tblPr>
      <w:tblGrid>
        <w:gridCol w:w="2268"/>
        <w:gridCol w:w="2340"/>
        <w:gridCol w:w="2443"/>
        <w:gridCol w:w="2525"/>
      </w:tblGrid>
      <w:tr w:rsidR="00305D4F" w:rsidRPr="00305D4F" w:rsidTr="00522542">
        <w:trPr>
          <w:trHeight w:val="300"/>
        </w:trPr>
        <w:tc>
          <w:tcPr>
            <w:tcW w:w="9576" w:type="dxa"/>
            <w:gridSpan w:val="4"/>
            <w:shd w:val="clear" w:color="auto" w:fill="E2EFD9"/>
            <w:noWrap/>
            <w:hideMark/>
          </w:tcPr>
          <w:p w:rsidR="00305D4F" w:rsidRPr="008E29EF" w:rsidRDefault="00EE29E1" w:rsidP="00305D4F">
            <w:pPr>
              <w:rPr>
                <w:rFonts w:ascii="Calibri" w:eastAsia="Calibri" w:hAnsi="Calibri" w:cs="Times New Roman"/>
                <w:b/>
                <w:bCs/>
                <w:sz w:val="24"/>
                <w:szCs w:val="24"/>
              </w:rPr>
            </w:pPr>
            <w:r w:rsidRPr="008E29EF">
              <w:rPr>
                <w:rFonts w:ascii="Calibri" w:eastAsia="Calibri" w:hAnsi="Calibri" w:cs="Times New Roman"/>
                <w:b/>
                <w:bCs/>
                <w:sz w:val="24"/>
                <w:szCs w:val="24"/>
              </w:rPr>
              <w:t>E</w:t>
            </w:r>
            <w:r w:rsidR="00305D4F" w:rsidRPr="008E29EF">
              <w:rPr>
                <w:rFonts w:ascii="Calibri" w:eastAsia="Calibri" w:hAnsi="Calibri" w:cs="Times New Roman"/>
                <w:b/>
                <w:bCs/>
                <w:sz w:val="24"/>
                <w:szCs w:val="24"/>
              </w:rPr>
              <w:t xml:space="preserve">. </w:t>
            </w:r>
            <w:r w:rsidR="00952A95" w:rsidRPr="008E29EF">
              <w:rPr>
                <w:rFonts w:ascii="Calibri" w:eastAsia="Calibri" w:hAnsi="Calibri" w:cs="Times New Roman"/>
                <w:b/>
                <w:bCs/>
                <w:sz w:val="24"/>
                <w:szCs w:val="24"/>
              </w:rPr>
              <w:t xml:space="preserve">Current </w:t>
            </w:r>
            <w:r w:rsidR="00305D4F" w:rsidRPr="008E29EF">
              <w:rPr>
                <w:rFonts w:ascii="Calibri" w:eastAsia="Calibri" w:hAnsi="Calibri" w:cs="Times New Roman"/>
                <w:b/>
                <w:bCs/>
                <w:sz w:val="24"/>
                <w:szCs w:val="24"/>
              </w:rPr>
              <w:t>Commercial Heating Use</w:t>
            </w:r>
          </w:p>
        </w:tc>
      </w:tr>
      <w:tr w:rsidR="00305D4F" w:rsidRPr="00305D4F" w:rsidTr="00DE486E">
        <w:trPr>
          <w:trHeight w:val="1304"/>
        </w:trPr>
        <w:tc>
          <w:tcPr>
            <w:tcW w:w="2268" w:type="dxa"/>
            <w:shd w:val="clear" w:color="auto" w:fill="E2EFD9"/>
            <w:noWrap/>
            <w:hideMark/>
          </w:tcPr>
          <w:p w:rsidR="00305D4F" w:rsidRPr="008E29EF" w:rsidRDefault="00305D4F" w:rsidP="00305D4F">
            <w:pPr>
              <w:rPr>
                <w:rFonts w:ascii="Calibri" w:eastAsia="Calibri" w:hAnsi="Calibri" w:cs="Times New Roman"/>
                <w:bCs/>
              </w:rPr>
            </w:pPr>
          </w:p>
        </w:tc>
        <w:tc>
          <w:tcPr>
            <w:tcW w:w="2340" w:type="dxa"/>
            <w:shd w:val="clear" w:color="auto" w:fill="E2EFD9"/>
            <w:hideMark/>
          </w:tcPr>
          <w:p w:rsidR="00305D4F" w:rsidRPr="00DE486E" w:rsidRDefault="00305D4F" w:rsidP="00B53EA6">
            <w:pPr>
              <w:rPr>
                <w:rFonts w:ascii="Calibri" w:eastAsia="Calibri" w:hAnsi="Calibri" w:cs="Times New Roman"/>
                <w:b/>
                <w:bCs/>
                <w:sz w:val="20"/>
                <w:szCs w:val="20"/>
              </w:rPr>
            </w:pPr>
            <w:r w:rsidRPr="00DE486E">
              <w:rPr>
                <w:rFonts w:ascii="Calibri" w:eastAsia="Calibri" w:hAnsi="Calibri" w:cs="Times New Roman"/>
                <w:b/>
                <w:bCs/>
                <w:sz w:val="20"/>
                <w:szCs w:val="20"/>
              </w:rPr>
              <w:t>Commercial Establishments</w:t>
            </w:r>
            <w:r w:rsidRPr="00DE486E">
              <w:rPr>
                <w:rFonts w:ascii="Calibri" w:eastAsia="Calibri" w:hAnsi="Calibri" w:cs="Times New Roman"/>
                <w:b/>
                <w:bCs/>
                <w:sz w:val="20"/>
                <w:szCs w:val="20"/>
              </w:rPr>
              <w:br/>
              <w:t xml:space="preserve"> in </w:t>
            </w:r>
            <w:r w:rsidR="00B53EA6" w:rsidRPr="00DE486E">
              <w:rPr>
                <w:rFonts w:ascii="Calibri" w:eastAsia="Calibri" w:hAnsi="Calibri" w:cs="Times New Roman"/>
                <w:b/>
                <w:bCs/>
                <w:sz w:val="20"/>
                <w:szCs w:val="20"/>
              </w:rPr>
              <w:t>Bradford</w:t>
            </w:r>
            <w:r w:rsidRPr="00DE486E">
              <w:rPr>
                <w:rFonts w:ascii="Calibri" w:eastAsia="Calibri" w:hAnsi="Calibri" w:cs="Times New Roman"/>
                <w:b/>
                <w:bCs/>
                <w:sz w:val="20"/>
                <w:szCs w:val="20"/>
              </w:rPr>
              <w:t xml:space="preserve"> (VT DOL)</w:t>
            </w:r>
          </w:p>
        </w:tc>
        <w:tc>
          <w:tcPr>
            <w:tcW w:w="2443" w:type="dxa"/>
            <w:shd w:val="clear" w:color="auto" w:fill="E2EFD9"/>
            <w:hideMark/>
          </w:tcPr>
          <w:p w:rsidR="00305D4F" w:rsidRPr="00DE486E" w:rsidRDefault="00305D4F" w:rsidP="00305D4F">
            <w:pPr>
              <w:rPr>
                <w:rFonts w:ascii="Calibri" w:eastAsia="Calibri" w:hAnsi="Calibri" w:cs="Times New Roman"/>
                <w:b/>
                <w:bCs/>
                <w:sz w:val="20"/>
                <w:szCs w:val="20"/>
              </w:rPr>
            </w:pPr>
            <w:r w:rsidRPr="00DE486E">
              <w:rPr>
                <w:rFonts w:ascii="Calibri" w:eastAsia="Calibri" w:hAnsi="Calibri" w:cs="Times New Roman"/>
                <w:b/>
                <w:bCs/>
                <w:sz w:val="20"/>
                <w:szCs w:val="20"/>
              </w:rPr>
              <w:t xml:space="preserve">Estimated Thermal Energy BTUs per Commercial Establishment </w:t>
            </w:r>
            <w:r w:rsidRPr="00DE486E">
              <w:rPr>
                <w:rFonts w:ascii="Calibri" w:eastAsia="Calibri" w:hAnsi="Calibri" w:cs="Times New Roman"/>
                <w:b/>
                <w:bCs/>
                <w:sz w:val="20"/>
                <w:szCs w:val="20"/>
              </w:rPr>
              <w:br/>
              <w:t>(in Billions) (VT Dept. of Public Service)</w:t>
            </w:r>
          </w:p>
        </w:tc>
        <w:tc>
          <w:tcPr>
            <w:tcW w:w="2525" w:type="dxa"/>
            <w:shd w:val="clear" w:color="auto" w:fill="E2EFD9"/>
            <w:hideMark/>
          </w:tcPr>
          <w:p w:rsidR="00305D4F" w:rsidRPr="00DE486E" w:rsidRDefault="00305D4F" w:rsidP="00B53EA6">
            <w:pPr>
              <w:rPr>
                <w:rFonts w:ascii="Calibri" w:eastAsia="Calibri" w:hAnsi="Calibri" w:cs="Times New Roman"/>
                <w:b/>
                <w:bCs/>
                <w:sz w:val="20"/>
                <w:szCs w:val="20"/>
              </w:rPr>
            </w:pPr>
            <w:r w:rsidRPr="00DE486E">
              <w:rPr>
                <w:rFonts w:ascii="Calibri" w:eastAsia="Calibri" w:hAnsi="Calibri" w:cs="Times New Roman"/>
                <w:b/>
                <w:bCs/>
                <w:sz w:val="20"/>
                <w:szCs w:val="20"/>
              </w:rPr>
              <w:t xml:space="preserve">Estimated Thermal Energy BTUs by Commercial Establishments in </w:t>
            </w:r>
            <w:r w:rsidR="00B53EA6" w:rsidRPr="00DE486E">
              <w:rPr>
                <w:rFonts w:ascii="Calibri" w:eastAsia="Calibri" w:hAnsi="Calibri" w:cs="Times New Roman"/>
                <w:b/>
                <w:bCs/>
                <w:sz w:val="20"/>
                <w:szCs w:val="20"/>
              </w:rPr>
              <w:t>Bradford</w:t>
            </w:r>
            <w:r w:rsidRPr="00DE486E">
              <w:rPr>
                <w:rFonts w:ascii="Calibri" w:eastAsia="Calibri" w:hAnsi="Calibri" w:cs="Times New Roman"/>
                <w:b/>
                <w:bCs/>
                <w:sz w:val="20"/>
                <w:szCs w:val="20"/>
              </w:rPr>
              <w:t xml:space="preserve"> (in Billions)</w:t>
            </w:r>
          </w:p>
        </w:tc>
      </w:tr>
      <w:tr w:rsidR="00305D4F" w:rsidRPr="00305D4F" w:rsidTr="00D85F55">
        <w:trPr>
          <w:trHeight w:val="300"/>
        </w:trPr>
        <w:tc>
          <w:tcPr>
            <w:tcW w:w="2268" w:type="dxa"/>
            <w:noWrap/>
            <w:hideMark/>
          </w:tcPr>
          <w:p w:rsidR="00305D4F" w:rsidRPr="00305D4F" w:rsidRDefault="00305D4F" w:rsidP="00305D4F">
            <w:pPr>
              <w:rPr>
                <w:rFonts w:ascii="Calibri" w:eastAsia="Calibri" w:hAnsi="Calibri" w:cs="Times New Roman"/>
              </w:rPr>
            </w:pPr>
            <w:r w:rsidRPr="00305D4F">
              <w:rPr>
                <w:rFonts w:ascii="Calibri" w:eastAsia="Calibri" w:hAnsi="Calibri" w:cs="Times New Roman"/>
              </w:rPr>
              <w:t>Municipal Commercial Energy Use</w:t>
            </w:r>
          </w:p>
        </w:tc>
        <w:tc>
          <w:tcPr>
            <w:tcW w:w="2340" w:type="dxa"/>
            <w:noWrap/>
            <w:hideMark/>
          </w:tcPr>
          <w:p w:rsidR="00305D4F" w:rsidRPr="00305D4F" w:rsidRDefault="00083E23" w:rsidP="00083E23">
            <w:pPr>
              <w:jc w:val="center"/>
              <w:rPr>
                <w:rFonts w:ascii="Calibri" w:eastAsia="Calibri" w:hAnsi="Calibri" w:cs="Times New Roman"/>
              </w:rPr>
            </w:pPr>
            <w:r>
              <w:rPr>
                <w:rFonts w:ascii="Calibri" w:eastAsia="Calibri" w:hAnsi="Calibri" w:cs="Times New Roman"/>
              </w:rPr>
              <w:t>17</w:t>
            </w:r>
          </w:p>
        </w:tc>
        <w:tc>
          <w:tcPr>
            <w:tcW w:w="2443" w:type="dxa"/>
            <w:noWrap/>
            <w:hideMark/>
          </w:tcPr>
          <w:p w:rsidR="00305D4F" w:rsidRPr="00305D4F" w:rsidRDefault="00305D4F" w:rsidP="00083E23">
            <w:pPr>
              <w:jc w:val="center"/>
              <w:rPr>
                <w:rFonts w:ascii="Calibri" w:eastAsia="Calibri" w:hAnsi="Calibri" w:cs="Times New Roman"/>
              </w:rPr>
            </w:pPr>
            <w:r w:rsidRPr="00305D4F">
              <w:rPr>
                <w:rFonts w:ascii="Calibri" w:eastAsia="Calibri" w:hAnsi="Calibri" w:cs="Times New Roman"/>
              </w:rPr>
              <w:t>0.725</w:t>
            </w:r>
          </w:p>
        </w:tc>
        <w:tc>
          <w:tcPr>
            <w:tcW w:w="2525" w:type="dxa"/>
            <w:noWrap/>
            <w:hideMark/>
          </w:tcPr>
          <w:p w:rsidR="00305D4F" w:rsidRPr="00305D4F" w:rsidRDefault="00083E23" w:rsidP="00083E23">
            <w:pPr>
              <w:jc w:val="center"/>
              <w:rPr>
                <w:rFonts w:ascii="Calibri" w:eastAsia="Calibri" w:hAnsi="Calibri" w:cs="Times New Roman"/>
              </w:rPr>
            </w:pPr>
            <w:r>
              <w:rPr>
                <w:rFonts w:ascii="Calibri" w:eastAsia="Calibri" w:hAnsi="Calibri" w:cs="Times New Roman"/>
              </w:rPr>
              <w:t>12</w:t>
            </w:r>
          </w:p>
        </w:tc>
      </w:tr>
    </w:tbl>
    <w:p w:rsidR="00305D4F" w:rsidRDefault="00CA50D5">
      <w:pPr>
        <w:rPr>
          <w:sz w:val="28"/>
          <w:szCs w:val="28"/>
        </w:rPr>
      </w:pPr>
      <w:r w:rsidRPr="00CA50D5">
        <w:rPr>
          <w:noProof/>
          <w:sz w:val="28"/>
          <w:szCs w:val="28"/>
        </w:rPr>
        <mc:AlternateContent>
          <mc:Choice Requires="wps">
            <w:drawing>
              <wp:anchor distT="45720" distB="45720" distL="114300" distR="114300" simplePos="0" relativeHeight="251659776" behindDoc="0" locked="0" layoutInCell="1" allowOverlap="1">
                <wp:simplePos x="0" y="0"/>
                <wp:positionH relativeFrom="column">
                  <wp:posOffset>-38100</wp:posOffset>
                </wp:positionH>
                <wp:positionV relativeFrom="paragraph">
                  <wp:posOffset>184785</wp:posOffset>
                </wp:positionV>
                <wp:extent cx="5610225" cy="8191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19150"/>
                        </a:xfrm>
                        <a:prstGeom prst="rect">
                          <a:avLst/>
                        </a:prstGeom>
                        <a:solidFill>
                          <a:srgbClr val="FFFFFF"/>
                        </a:solidFill>
                        <a:ln w="9525">
                          <a:solidFill>
                            <a:srgbClr val="000000"/>
                          </a:solidFill>
                          <a:miter lim="800000"/>
                          <a:headEnd/>
                          <a:tailEnd/>
                        </a:ln>
                      </wps:spPr>
                      <wps:txbx>
                        <w:txbxContent>
                          <w:p w:rsidR="00393CD3" w:rsidRDefault="00393CD3">
                            <w:r>
                              <w:t>Insert photo or information about weatherization projects completed on town buildings.</w:t>
                            </w:r>
                            <w:r w:rsidRPr="00393CD3">
                              <w:rPr>
                                <w:noProof/>
                              </w:rPr>
                              <w:t xml:space="preserve"> </w:t>
                            </w:r>
                            <w:r>
                              <w:rPr>
                                <w:noProof/>
                              </w:rPr>
                              <w:drawing>
                                <wp:inline distT="0" distB="0" distL="0" distR="0" wp14:anchorId="5330277C" wp14:editId="5FDA973D">
                                  <wp:extent cx="2980055" cy="447474"/>
                                  <wp:effectExtent l="0" t="0" r="0" b="0"/>
                                  <wp:docPr id="12" name="Picture 12" descr="Bradford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dford Public Libr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0055" cy="4474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pt;margin-top:14.55pt;width:441.75pt;height:6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">
                <v:textbox>
                  <w:txbxContent>
                    <w:p w:rsidR="00393CD3" w:rsidRDefault="00393CD3">
                      <w:r>
                        <w:t>Insert photo or information about weatherization projects completed on town buildings.</w:t>
                      </w:r>
                      <w:r w:rsidRPr="00393CD3">
                        <w:rPr>
                          <w:noProof/>
                        </w:rPr>
                        <w:t xml:space="preserve"> </w:t>
                      </w:r>
                      <w:r>
                        <w:rPr>
                          <w:noProof/>
                        </w:rPr>
                        <w:drawing>
                          <wp:inline distT="0" distB="0" distL="0" distR="0" wp14:anchorId="5330277C" wp14:editId="5FDA973D">
                            <wp:extent cx="2980055" cy="447474"/>
                            <wp:effectExtent l="0" t="0" r="0" b="0"/>
                            <wp:docPr id="12" name="Picture 12" descr="Bradford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dford Public Libr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0055" cy="447474"/>
                                    </a:xfrm>
                                    <a:prstGeom prst="rect">
                                      <a:avLst/>
                                    </a:prstGeom>
                                    <a:noFill/>
                                    <a:ln>
                                      <a:noFill/>
                                    </a:ln>
                                  </pic:spPr>
                                </pic:pic>
                              </a:graphicData>
                            </a:graphic>
                          </wp:inline>
                        </w:drawing>
                      </w:r>
                    </w:p>
                  </w:txbxContent>
                </v:textbox>
                <w10:wrap type="square"/>
              </v:shape>
            </w:pict>
          </mc:Fallback>
        </mc:AlternateContent>
      </w:r>
    </w:p>
    <w:p w:rsidR="00B53EA6" w:rsidRDefault="00B53EA6" w:rsidP="00952A95">
      <w:pPr>
        <w:rPr>
          <w:rFonts w:ascii="Calibri" w:eastAsia="Calibri" w:hAnsi="Calibri" w:cs="Times New Roman"/>
        </w:rPr>
      </w:pPr>
    </w:p>
    <w:p w:rsidR="00B53EA6" w:rsidRDefault="00B53EA6" w:rsidP="00952A95">
      <w:pPr>
        <w:rPr>
          <w:rFonts w:ascii="Calibri" w:eastAsia="Calibri" w:hAnsi="Calibri" w:cs="Times New Roman"/>
        </w:rPr>
      </w:pPr>
    </w:p>
    <w:p w:rsidR="00CA50D5" w:rsidRDefault="00CA50D5" w:rsidP="00952A95">
      <w:pPr>
        <w:rPr>
          <w:rFonts w:ascii="Calibri" w:eastAsia="Calibri" w:hAnsi="Calibri" w:cs="Times New Roman"/>
        </w:rPr>
      </w:pPr>
    </w:p>
    <w:p w:rsidR="008C7E4F" w:rsidRPr="008C7E4F" w:rsidRDefault="008C7E4F" w:rsidP="008C7E4F">
      <w:pPr>
        <w:autoSpaceDE w:val="0"/>
        <w:autoSpaceDN w:val="0"/>
        <w:adjustRightInd w:val="0"/>
        <w:spacing w:after="0" w:line="240" w:lineRule="auto"/>
        <w:rPr>
          <w:rFonts w:ascii="Calibri" w:eastAsia="Calibri" w:hAnsi="Calibri" w:cs="Times New Roman"/>
          <w:b/>
        </w:rPr>
      </w:pPr>
      <w:r w:rsidRPr="008C7E4F">
        <w:rPr>
          <w:rFonts w:ascii="Calibri" w:eastAsia="Calibri" w:hAnsi="Calibri" w:cs="Times New Roman"/>
          <w:b/>
        </w:rPr>
        <w:lastRenderedPageBreak/>
        <w:t xml:space="preserve">Capital Budget Planning </w:t>
      </w:r>
    </w:p>
    <w:p w:rsidR="008C7E4F" w:rsidRDefault="008C7E4F" w:rsidP="008C7E4F">
      <w:pPr>
        <w:rPr>
          <w:rFonts w:ascii="Calibri" w:eastAsia="Calibri" w:hAnsi="Calibri" w:cs="Times New Roman"/>
        </w:rPr>
      </w:pPr>
      <w:r w:rsidRPr="008C7E4F">
        <w:rPr>
          <w:rFonts w:ascii="Calibri" w:eastAsia="Calibri" w:hAnsi="Calibri" w:cs="Times New Roman"/>
        </w:rPr>
        <w:t xml:space="preserve">Given the potential expense of energy efficiency improvements, it is essential to wisely budget town funding to cover these costs. State statute enables communities to create a Capital Budget and Program for the purposes of planning and investing in long-range capital planning. Although most communities have some form of capital account where they save money, many do not have a true Capital Budget and Program. A capital budget outlines the capital projects that are to be undertaken in the coming fiscal years over a five-year period. It includes estimated costs and a proposed method of financing those costs. Also outlined in the Program is an indication of priority of need and the order in which these investments will be made. Any Capital Budget and Program must be consistent with the Town Plan and shall include an analysis of what effect capital investments might have on the operating costs of the community. </w:t>
      </w:r>
    </w:p>
    <w:p w:rsidR="008C7E4F" w:rsidRDefault="008C7E4F" w:rsidP="008C7E4F">
      <w:pPr>
        <w:rPr>
          <w:sz w:val="23"/>
          <w:szCs w:val="23"/>
        </w:rPr>
      </w:pPr>
      <w:r>
        <w:rPr>
          <w:sz w:val="23"/>
          <w:szCs w:val="23"/>
        </w:rPr>
        <w:t>When planning for routine major facility investments, such as roof replacements, foundation repairs, etc., it is important to consider making energy efficiency improvements simultaneously. The cost to replace or renovate a community facility will only be slightly higher if energy efficiency improvements are done at the same time, rather than on their own.</w:t>
      </w:r>
    </w:p>
    <w:p w:rsidR="008C7E4F" w:rsidRPr="008C7E4F" w:rsidRDefault="008C7E4F" w:rsidP="008C7E4F">
      <w:pPr>
        <w:spacing w:after="0" w:line="240" w:lineRule="auto"/>
        <w:rPr>
          <w:b/>
          <w:sz w:val="23"/>
          <w:szCs w:val="23"/>
        </w:rPr>
      </w:pPr>
      <w:r w:rsidRPr="008C7E4F">
        <w:rPr>
          <w:b/>
          <w:sz w:val="23"/>
          <w:szCs w:val="23"/>
        </w:rPr>
        <w:t xml:space="preserve">Energy Efficient Purchasing Policy </w:t>
      </w:r>
    </w:p>
    <w:p w:rsidR="008C7E4F" w:rsidRDefault="008C7E4F" w:rsidP="008C7E4F">
      <w:pPr>
        <w:spacing w:after="0" w:line="240" w:lineRule="auto"/>
        <w:rPr>
          <w:sz w:val="23"/>
          <w:szCs w:val="23"/>
        </w:rPr>
      </w:pPr>
      <w:r>
        <w:rPr>
          <w:sz w:val="23"/>
          <w:szCs w:val="23"/>
        </w:rPr>
        <w:t>A policy of this nature would require energy efficiency to be considered when purchasing or planning for other town investments. For example, purchasing Energy Star-rated equipment is a well-documented way to increase energy efficiency. Devices carrying the Energy Star logo, such as computer products and peripherals, kitchen appliances, buildings and other products, generally use 20%–30% less energy than required by federal standards.</w:t>
      </w:r>
    </w:p>
    <w:p w:rsidR="008C7E4F" w:rsidRDefault="008C7E4F" w:rsidP="008C7E4F">
      <w:pPr>
        <w:spacing w:after="0" w:line="240" w:lineRule="auto"/>
        <w:rPr>
          <w:sz w:val="23"/>
          <w:szCs w:val="23"/>
        </w:rPr>
      </w:pPr>
    </w:p>
    <w:p w:rsidR="008C7E4F" w:rsidRPr="008C7E4F" w:rsidRDefault="008C7E4F" w:rsidP="008C7E4F">
      <w:pPr>
        <w:pStyle w:val="Default"/>
        <w:rPr>
          <w:rFonts w:asciiTheme="minorHAnsi" w:hAnsiTheme="minorHAnsi" w:cstheme="minorBidi"/>
          <w:b/>
          <w:color w:val="auto"/>
          <w:sz w:val="23"/>
          <w:szCs w:val="23"/>
        </w:rPr>
      </w:pPr>
      <w:r w:rsidRPr="008C7E4F">
        <w:rPr>
          <w:rFonts w:asciiTheme="minorHAnsi" w:hAnsiTheme="minorHAnsi" w:cstheme="minorBidi"/>
          <w:b/>
          <w:color w:val="auto"/>
          <w:sz w:val="23"/>
          <w:szCs w:val="23"/>
        </w:rPr>
        <w:t xml:space="preserve">Energy and Land Use Policy </w:t>
      </w:r>
    </w:p>
    <w:p w:rsidR="008C7E4F" w:rsidRDefault="008C7E4F" w:rsidP="008C7E4F">
      <w:pPr>
        <w:pStyle w:val="Default"/>
        <w:rPr>
          <w:rFonts w:asciiTheme="minorHAnsi" w:hAnsiTheme="minorHAnsi" w:cstheme="minorBidi"/>
          <w:color w:val="auto"/>
          <w:sz w:val="23"/>
          <w:szCs w:val="23"/>
        </w:rPr>
      </w:pPr>
      <w:r w:rsidRPr="008C7E4F">
        <w:rPr>
          <w:rFonts w:asciiTheme="minorHAnsi" w:hAnsiTheme="minorHAnsi" w:cstheme="minorBidi"/>
          <w:color w:val="auto"/>
          <w:sz w:val="23"/>
          <w:szCs w:val="23"/>
        </w:rPr>
        <w:t xml:space="preserve">The Vermont Municipal and Regional Planning and Development Act (24 V.S.A. Chapter 117) does not allow communities to impose land use regulations that prohibit or has the effect of prohibiting the installation of solar collectors or other renewable energy devices. However, statute does enable Vermont's municipalities to adopt regulatory bylaws (such as zoning and subdivision ordinances) to implement the energy provisions contained in their town plan. Bradford does not have subdivision regulations at this time. </w:t>
      </w:r>
    </w:p>
    <w:p w:rsidR="008C7E4F" w:rsidRPr="008C7E4F" w:rsidRDefault="008C7E4F" w:rsidP="008C7E4F">
      <w:pPr>
        <w:pStyle w:val="Default"/>
        <w:rPr>
          <w:rFonts w:asciiTheme="minorHAnsi" w:hAnsiTheme="minorHAnsi" w:cstheme="minorBidi"/>
          <w:color w:val="auto"/>
          <w:sz w:val="23"/>
          <w:szCs w:val="23"/>
        </w:rPr>
      </w:pPr>
    </w:p>
    <w:p w:rsidR="008C7E4F" w:rsidRDefault="008C7E4F" w:rsidP="008C7E4F">
      <w:pPr>
        <w:pStyle w:val="Default"/>
        <w:rPr>
          <w:rFonts w:asciiTheme="minorHAnsi" w:hAnsiTheme="minorHAnsi" w:cstheme="minorBidi"/>
          <w:color w:val="auto"/>
          <w:sz w:val="23"/>
          <w:szCs w:val="23"/>
        </w:rPr>
      </w:pPr>
      <w:r w:rsidRPr="008C7E4F">
        <w:rPr>
          <w:rFonts w:asciiTheme="minorHAnsi" w:hAnsiTheme="minorHAnsi" w:cstheme="minorBidi"/>
          <w:color w:val="auto"/>
          <w:sz w:val="23"/>
          <w:szCs w:val="23"/>
        </w:rPr>
        <w:t xml:space="preserve">Zoning bylaws can be designed to control the type and density of development. It is important to acknowledge the connection between land use, transportation, and energy, and creating zoning ordinances and subdivision regulations that encourage energy efficiency and conservation. Encouraging high-density and diverse uses in and around existing built-up areas will lead to more compact settlement patterns, thereby minimizing travel requirements. At the same time, zoning bylaws must be flexible enough to recognize and allow for the emergence of technological advancements, which encourage decreased energy consumption, and the increased use of renewable energy. </w:t>
      </w:r>
    </w:p>
    <w:p w:rsidR="008C7E4F" w:rsidRPr="008C7E4F" w:rsidRDefault="008C7E4F" w:rsidP="008C7E4F">
      <w:pPr>
        <w:pStyle w:val="Default"/>
        <w:rPr>
          <w:rFonts w:asciiTheme="minorHAnsi" w:hAnsiTheme="minorHAnsi" w:cstheme="minorBidi"/>
          <w:color w:val="auto"/>
          <w:sz w:val="23"/>
          <w:szCs w:val="23"/>
        </w:rPr>
      </w:pPr>
    </w:p>
    <w:p w:rsidR="008C7E4F" w:rsidRDefault="008C7E4F" w:rsidP="008C7E4F">
      <w:pPr>
        <w:spacing w:after="0" w:line="240" w:lineRule="auto"/>
        <w:rPr>
          <w:sz w:val="23"/>
          <w:szCs w:val="23"/>
        </w:rPr>
      </w:pPr>
      <w:r>
        <w:rPr>
          <w:sz w:val="23"/>
          <w:szCs w:val="23"/>
        </w:rPr>
        <w:t xml:space="preserve">Zoning bylaws may contain provisions for planned unit developments (PUDs). PUDs are a grouping of mixed use or residential structures, pre-planned and developed on a single parcel of land. The setback frontage and density requirements of a zoning Area may be varied to allow creative and energy efficient design (i.e. east-west orientation of roads to encourage southern exposure of </w:t>
      </w:r>
      <w:r>
        <w:rPr>
          <w:sz w:val="23"/>
          <w:szCs w:val="23"/>
        </w:rPr>
        <w:lastRenderedPageBreak/>
        <w:t>structures, solar access protection, use of land forms or vegetation for wind breaks, and attached structures), and to encourage the construction of energy efficient buildings.</w:t>
      </w:r>
    </w:p>
    <w:p w:rsidR="008C7E4F" w:rsidRDefault="008C7E4F" w:rsidP="008C7E4F">
      <w:pPr>
        <w:spacing w:after="0" w:line="240" w:lineRule="auto"/>
        <w:rPr>
          <w:sz w:val="23"/>
          <w:szCs w:val="23"/>
        </w:rPr>
      </w:pPr>
    </w:p>
    <w:p w:rsidR="008C7E4F" w:rsidRDefault="008C7E4F" w:rsidP="008C7E4F">
      <w:pPr>
        <w:spacing w:after="0" w:line="240" w:lineRule="auto"/>
        <w:rPr>
          <w:sz w:val="23"/>
          <w:szCs w:val="23"/>
        </w:rPr>
      </w:pPr>
      <w:r>
        <w:rPr>
          <w:sz w:val="23"/>
          <w:szCs w:val="23"/>
        </w:rPr>
        <w:t>Subdivision regulations are one of the most effective tools for encouraging energy efficiency and conservation. Subdivision regulations, like PUDs, involve town review (through the Development Review Board) in the design process. Because subdivision regulations govern the creation of new building lots, as well as the provision of access and other facilities and services to those lots, a community can impose requirements that a developer site their building to maximize solar gain. Likewise, subdivision regulations can require that landscaping be utilized to reduce thermal loss.</w:t>
      </w:r>
    </w:p>
    <w:p w:rsidR="008C7E4F" w:rsidRPr="008C7E4F" w:rsidRDefault="008C7E4F" w:rsidP="008C7E4F">
      <w:pPr>
        <w:spacing w:after="0" w:line="240" w:lineRule="auto"/>
        <w:rPr>
          <w:sz w:val="23"/>
          <w:szCs w:val="23"/>
        </w:rPr>
      </w:pPr>
    </w:p>
    <w:p w:rsidR="00AC764E" w:rsidRDefault="00EE29E1" w:rsidP="008C7E4F">
      <w:pPr>
        <w:rPr>
          <w:rFonts w:ascii="Calibri" w:eastAsia="Calibri" w:hAnsi="Calibri" w:cs="Times New Roman"/>
        </w:rPr>
      </w:pPr>
      <w:r>
        <w:rPr>
          <w:rFonts w:ascii="Calibri" w:eastAsia="Calibri" w:hAnsi="Calibri" w:cs="Times New Roman"/>
        </w:rPr>
        <w:t>Table F</w:t>
      </w:r>
      <w:r w:rsidR="00952A95" w:rsidRPr="00952A95">
        <w:rPr>
          <w:rFonts w:ascii="Calibri" w:eastAsia="Calibri" w:hAnsi="Calibri" w:cs="Times New Roman"/>
        </w:rPr>
        <w:t xml:space="preserve"> displays targets for thermal efficiency for residential structures based on a methodology developed by DPS using data av</w:t>
      </w:r>
      <w:r w:rsidR="00952A95">
        <w:rPr>
          <w:rFonts w:ascii="Calibri" w:eastAsia="Calibri" w:hAnsi="Calibri" w:cs="Times New Roman"/>
        </w:rPr>
        <w:t xml:space="preserve">ailable from the regional </w:t>
      </w:r>
      <w:r w:rsidR="00AC764E">
        <w:rPr>
          <w:rFonts w:ascii="Calibri" w:eastAsia="Calibri" w:hAnsi="Calibri" w:cs="Times New Roman"/>
        </w:rPr>
        <w:t>LEAP</w:t>
      </w:r>
      <w:r w:rsidR="00952A95" w:rsidRPr="00952A95">
        <w:rPr>
          <w:rFonts w:ascii="Calibri" w:eastAsia="Calibri" w:hAnsi="Calibri" w:cs="Times New Roman"/>
        </w:rPr>
        <w:t xml:space="preserve"> analysis and ACS. The data in this table represents the percentage of municipal households</w:t>
      </w:r>
      <w:r w:rsidR="00AC764E">
        <w:rPr>
          <w:rFonts w:ascii="Calibri" w:eastAsia="Calibri" w:hAnsi="Calibri" w:cs="Times New Roman"/>
        </w:rPr>
        <w:t xml:space="preserve"> and commercial establishments</w:t>
      </w:r>
      <w:r w:rsidR="00952A95" w:rsidRPr="00952A95">
        <w:rPr>
          <w:rFonts w:ascii="Calibri" w:eastAsia="Calibri" w:hAnsi="Calibri" w:cs="Times New Roman"/>
        </w:rPr>
        <w:t xml:space="preserve"> that will need to be weatherized in the target years.</w:t>
      </w:r>
      <w:r w:rsidR="006E3898">
        <w:rPr>
          <w:rFonts w:ascii="Calibri" w:eastAsia="Calibri" w:hAnsi="Calibri" w:cs="Times New Roman"/>
        </w:rPr>
        <w:t xml:space="preserve"> </w:t>
      </w:r>
      <w:r w:rsidR="00AC764E">
        <w:rPr>
          <w:rFonts w:ascii="Calibri" w:eastAsia="Calibri" w:hAnsi="Calibri" w:cs="Times New Roman"/>
        </w:rPr>
        <w:t xml:space="preserve">Base line 2015 </w:t>
      </w:r>
      <w:r w:rsidR="008E29EF">
        <w:rPr>
          <w:rFonts w:ascii="Calibri" w:eastAsia="Calibri" w:hAnsi="Calibri" w:cs="Times New Roman"/>
        </w:rPr>
        <w:t xml:space="preserve">data is based on LEAP analysis. </w:t>
      </w:r>
    </w:p>
    <w:tbl>
      <w:tblPr>
        <w:tblStyle w:val="TableGrid"/>
        <w:tblW w:w="0" w:type="auto"/>
        <w:tblLook w:val="04A0" w:firstRow="1" w:lastRow="0" w:firstColumn="1" w:lastColumn="0" w:noHBand="0" w:noVBand="1"/>
      </w:tblPr>
      <w:tblGrid>
        <w:gridCol w:w="5058"/>
        <w:gridCol w:w="1080"/>
        <w:gridCol w:w="1080"/>
        <w:gridCol w:w="990"/>
        <w:gridCol w:w="1142"/>
      </w:tblGrid>
      <w:tr w:rsidR="00952A95" w:rsidRPr="00952A95" w:rsidTr="006C4EB3">
        <w:trPr>
          <w:trHeight w:val="300"/>
        </w:trPr>
        <w:tc>
          <w:tcPr>
            <w:tcW w:w="5058" w:type="dxa"/>
            <w:shd w:val="clear" w:color="auto" w:fill="E2EFD9"/>
            <w:noWrap/>
            <w:hideMark/>
          </w:tcPr>
          <w:p w:rsidR="00952A95" w:rsidRPr="008E29EF" w:rsidRDefault="00EE29E1" w:rsidP="00952A95">
            <w:pPr>
              <w:rPr>
                <w:rFonts w:ascii="Calibri" w:eastAsia="Calibri" w:hAnsi="Calibri" w:cs="Times New Roman"/>
                <w:b/>
                <w:bCs/>
                <w:sz w:val="24"/>
                <w:szCs w:val="24"/>
              </w:rPr>
            </w:pPr>
            <w:r w:rsidRPr="008E29EF">
              <w:rPr>
                <w:rFonts w:ascii="Calibri" w:eastAsia="Calibri" w:hAnsi="Calibri" w:cs="Times New Roman"/>
                <w:b/>
                <w:bCs/>
                <w:sz w:val="24"/>
                <w:szCs w:val="24"/>
              </w:rPr>
              <w:t>F</w:t>
            </w:r>
            <w:r w:rsidR="00952A95" w:rsidRPr="008E29EF">
              <w:rPr>
                <w:rFonts w:ascii="Calibri" w:eastAsia="Calibri" w:hAnsi="Calibri" w:cs="Times New Roman"/>
                <w:b/>
                <w:bCs/>
                <w:sz w:val="24"/>
                <w:szCs w:val="24"/>
              </w:rPr>
              <w:t>. Heating Efficiency Targets</w:t>
            </w:r>
          </w:p>
        </w:tc>
        <w:tc>
          <w:tcPr>
            <w:tcW w:w="1080" w:type="dxa"/>
            <w:shd w:val="clear" w:color="auto" w:fill="E2EFD9"/>
          </w:tcPr>
          <w:p w:rsidR="00952A95" w:rsidRPr="008E29EF" w:rsidRDefault="00952A95" w:rsidP="006C4EB3">
            <w:pPr>
              <w:jc w:val="center"/>
              <w:rPr>
                <w:rFonts w:ascii="Calibri" w:eastAsia="Calibri" w:hAnsi="Calibri" w:cs="Times New Roman"/>
                <w:b/>
                <w:bCs/>
                <w:sz w:val="24"/>
                <w:szCs w:val="24"/>
              </w:rPr>
            </w:pPr>
            <w:r w:rsidRPr="008E29EF">
              <w:rPr>
                <w:rFonts w:ascii="Calibri" w:eastAsia="Calibri" w:hAnsi="Calibri" w:cs="Times New Roman"/>
                <w:b/>
                <w:bCs/>
                <w:sz w:val="24"/>
                <w:szCs w:val="24"/>
              </w:rPr>
              <w:t>2015</w:t>
            </w:r>
          </w:p>
        </w:tc>
        <w:tc>
          <w:tcPr>
            <w:tcW w:w="1080" w:type="dxa"/>
            <w:shd w:val="clear" w:color="auto" w:fill="E2EFD9"/>
            <w:noWrap/>
            <w:hideMark/>
          </w:tcPr>
          <w:p w:rsidR="00952A95" w:rsidRPr="008E29EF" w:rsidRDefault="00952A95" w:rsidP="006C4EB3">
            <w:pPr>
              <w:jc w:val="center"/>
              <w:rPr>
                <w:rFonts w:ascii="Calibri" w:eastAsia="Calibri" w:hAnsi="Calibri" w:cs="Times New Roman"/>
                <w:b/>
                <w:bCs/>
                <w:sz w:val="24"/>
                <w:szCs w:val="24"/>
              </w:rPr>
            </w:pPr>
            <w:r w:rsidRPr="008E29EF">
              <w:rPr>
                <w:rFonts w:ascii="Calibri" w:eastAsia="Calibri" w:hAnsi="Calibri" w:cs="Times New Roman"/>
                <w:b/>
                <w:bCs/>
                <w:sz w:val="24"/>
                <w:szCs w:val="24"/>
              </w:rPr>
              <w:t>2025</w:t>
            </w:r>
          </w:p>
        </w:tc>
        <w:tc>
          <w:tcPr>
            <w:tcW w:w="990" w:type="dxa"/>
            <w:shd w:val="clear" w:color="auto" w:fill="E2EFD9"/>
            <w:noWrap/>
            <w:hideMark/>
          </w:tcPr>
          <w:p w:rsidR="00952A95" w:rsidRPr="008E29EF" w:rsidRDefault="00952A95" w:rsidP="006C4EB3">
            <w:pPr>
              <w:jc w:val="center"/>
              <w:rPr>
                <w:rFonts w:ascii="Calibri" w:eastAsia="Calibri" w:hAnsi="Calibri" w:cs="Times New Roman"/>
                <w:b/>
                <w:bCs/>
                <w:sz w:val="24"/>
                <w:szCs w:val="24"/>
              </w:rPr>
            </w:pPr>
            <w:r w:rsidRPr="008E29EF">
              <w:rPr>
                <w:rFonts w:ascii="Calibri" w:eastAsia="Calibri" w:hAnsi="Calibri" w:cs="Times New Roman"/>
                <w:b/>
                <w:bCs/>
                <w:sz w:val="24"/>
                <w:szCs w:val="24"/>
              </w:rPr>
              <w:t>2035</w:t>
            </w:r>
          </w:p>
        </w:tc>
        <w:tc>
          <w:tcPr>
            <w:tcW w:w="1142" w:type="dxa"/>
            <w:shd w:val="clear" w:color="auto" w:fill="E2EFD9" w:themeFill="accent6" w:themeFillTint="33"/>
            <w:noWrap/>
            <w:hideMark/>
          </w:tcPr>
          <w:p w:rsidR="00952A95" w:rsidRPr="008E29EF" w:rsidRDefault="00952A95" w:rsidP="006C4EB3">
            <w:pPr>
              <w:jc w:val="center"/>
              <w:rPr>
                <w:rFonts w:ascii="Calibri" w:eastAsia="Calibri" w:hAnsi="Calibri" w:cs="Times New Roman"/>
                <w:b/>
                <w:bCs/>
                <w:sz w:val="24"/>
                <w:szCs w:val="24"/>
              </w:rPr>
            </w:pPr>
            <w:r w:rsidRPr="008E29EF">
              <w:rPr>
                <w:rFonts w:ascii="Calibri" w:eastAsia="Calibri" w:hAnsi="Calibri" w:cs="Times New Roman"/>
                <w:b/>
                <w:bCs/>
                <w:sz w:val="24"/>
                <w:szCs w:val="24"/>
              </w:rPr>
              <w:t>2050</w:t>
            </w:r>
          </w:p>
        </w:tc>
      </w:tr>
      <w:tr w:rsidR="00952A95" w:rsidRPr="00952A95" w:rsidTr="006C4EB3">
        <w:trPr>
          <w:trHeight w:val="602"/>
        </w:trPr>
        <w:tc>
          <w:tcPr>
            <w:tcW w:w="5058" w:type="dxa"/>
            <w:hideMark/>
          </w:tcPr>
          <w:p w:rsidR="00952A95" w:rsidRPr="006C4EB3" w:rsidRDefault="00952A95" w:rsidP="00952A95">
            <w:pPr>
              <w:rPr>
                <w:rFonts w:ascii="Calibri" w:eastAsia="Calibri" w:hAnsi="Calibri" w:cs="Times New Roman"/>
              </w:rPr>
            </w:pPr>
            <w:r w:rsidRPr="006C4EB3">
              <w:rPr>
                <w:rFonts w:ascii="Calibri" w:eastAsia="Calibri" w:hAnsi="Calibri" w:cs="Times New Roman"/>
              </w:rPr>
              <w:t>Residential - Increased Efficiency and Conservation</w:t>
            </w:r>
            <w:r w:rsidRPr="006C4EB3">
              <w:rPr>
                <w:rFonts w:ascii="Calibri" w:eastAsia="Calibri" w:hAnsi="Calibri" w:cs="Times New Roman"/>
              </w:rPr>
              <w:br/>
              <w:t xml:space="preserve"> (% of municipal households to be weatherized)</w:t>
            </w:r>
          </w:p>
        </w:tc>
        <w:tc>
          <w:tcPr>
            <w:tcW w:w="1080" w:type="dxa"/>
          </w:tcPr>
          <w:p w:rsidR="00952A95" w:rsidRPr="008E29EF" w:rsidRDefault="00952A95" w:rsidP="00083E23">
            <w:pPr>
              <w:jc w:val="center"/>
              <w:rPr>
                <w:rFonts w:ascii="Calibri" w:eastAsia="Calibri" w:hAnsi="Calibri" w:cs="Times New Roman"/>
                <w:sz w:val="24"/>
                <w:szCs w:val="24"/>
              </w:rPr>
            </w:pPr>
            <w:r w:rsidRPr="008E29EF">
              <w:rPr>
                <w:rFonts w:ascii="Calibri" w:eastAsia="Calibri" w:hAnsi="Calibri" w:cs="Times New Roman"/>
                <w:sz w:val="24"/>
                <w:szCs w:val="24"/>
              </w:rPr>
              <w:t>7%</w:t>
            </w:r>
          </w:p>
        </w:tc>
        <w:tc>
          <w:tcPr>
            <w:tcW w:w="1080" w:type="dxa"/>
            <w:noWrap/>
            <w:hideMark/>
          </w:tcPr>
          <w:p w:rsidR="00952A95" w:rsidRPr="008E29EF" w:rsidRDefault="00952A95" w:rsidP="00083E23">
            <w:pPr>
              <w:jc w:val="center"/>
              <w:rPr>
                <w:rFonts w:ascii="Calibri" w:eastAsia="Calibri" w:hAnsi="Calibri" w:cs="Times New Roman"/>
                <w:sz w:val="24"/>
                <w:szCs w:val="24"/>
              </w:rPr>
            </w:pPr>
            <w:r w:rsidRPr="008E29EF">
              <w:rPr>
                <w:rFonts w:ascii="Calibri" w:eastAsia="Calibri" w:hAnsi="Calibri" w:cs="Times New Roman"/>
                <w:sz w:val="24"/>
                <w:szCs w:val="24"/>
              </w:rPr>
              <w:t>33%</w:t>
            </w:r>
          </w:p>
        </w:tc>
        <w:tc>
          <w:tcPr>
            <w:tcW w:w="990" w:type="dxa"/>
            <w:noWrap/>
            <w:hideMark/>
          </w:tcPr>
          <w:p w:rsidR="00952A95" w:rsidRPr="008E29EF" w:rsidRDefault="00952A95" w:rsidP="00083E23">
            <w:pPr>
              <w:jc w:val="center"/>
              <w:rPr>
                <w:rFonts w:ascii="Calibri" w:eastAsia="Calibri" w:hAnsi="Calibri" w:cs="Times New Roman"/>
                <w:sz w:val="24"/>
                <w:szCs w:val="24"/>
              </w:rPr>
            </w:pPr>
            <w:r w:rsidRPr="008E29EF">
              <w:rPr>
                <w:rFonts w:ascii="Calibri" w:eastAsia="Calibri" w:hAnsi="Calibri" w:cs="Times New Roman"/>
                <w:sz w:val="24"/>
                <w:szCs w:val="24"/>
              </w:rPr>
              <w:t>67%</w:t>
            </w:r>
          </w:p>
        </w:tc>
        <w:tc>
          <w:tcPr>
            <w:tcW w:w="1142" w:type="dxa"/>
            <w:noWrap/>
            <w:hideMark/>
          </w:tcPr>
          <w:p w:rsidR="00952A95" w:rsidRPr="008E29EF" w:rsidRDefault="00952A95" w:rsidP="00083E23">
            <w:pPr>
              <w:jc w:val="center"/>
              <w:rPr>
                <w:rFonts w:ascii="Calibri" w:eastAsia="Calibri" w:hAnsi="Calibri" w:cs="Times New Roman"/>
                <w:sz w:val="24"/>
                <w:szCs w:val="24"/>
              </w:rPr>
            </w:pPr>
            <w:r w:rsidRPr="008E29EF">
              <w:rPr>
                <w:rFonts w:ascii="Calibri" w:eastAsia="Calibri" w:hAnsi="Calibri" w:cs="Times New Roman"/>
                <w:sz w:val="24"/>
                <w:szCs w:val="24"/>
              </w:rPr>
              <w:t>100%</w:t>
            </w:r>
          </w:p>
        </w:tc>
      </w:tr>
      <w:tr w:rsidR="00952A95" w:rsidRPr="00952A95" w:rsidTr="006C4EB3">
        <w:trPr>
          <w:trHeight w:val="638"/>
        </w:trPr>
        <w:tc>
          <w:tcPr>
            <w:tcW w:w="5058" w:type="dxa"/>
            <w:hideMark/>
          </w:tcPr>
          <w:p w:rsidR="00952A95" w:rsidRPr="006C4EB3" w:rsidRDefault="00952A95" w:rsidP="00952A95">
            <w:pPr>
              <w:rPr>
                <w:rFonts w:ascii="Calibri" w:eastAsia="Calibri" w:hAnsi="Calibri" w:cs="Times New Roman"/>
              </w:rPr>
            </w:pPr>
            <w:r w:rsidRPr="006C4EB3">
              <w:rPr>
                <w:rFonts w:ascii="Calibri" w:eastAsia="Calibri" w:hAnsi="Calibri" w:cs="Times New Roman"/>
              </w:rPr>
              <w:t>Commercial - Increased Efficiency and Conservation</w:t>
            </w:r>
            <w:r w:rsidRPr="006C4EB3">
              <w:rPr>
                <w:rFonts w:ascii="Calibri" w:eastAsia="Calibri" w:hAnsi="Calibri" w:cs="Times New Roman"/>
              </w:rPr>
              <w:br/>
              <w:t xml:space="preserve"> (% of commercial establishments to be weatherized)</w:t>
            </w:r>
          </w:p>
        </w:tc>
        <w:tc>
          <w:tcPr>
            <w:tcW w:w="1080" w:type="dxa"/>
          </w:tcPr>
          <w:p w:rsidR="00952A95" w:rsidRPr="008E29EF" w:rsidRDefault="00952A95" w:rsidP="00083E23">
            <w:pPr>
              <w:jc w:val="center"/>
              <w:rPr>
                <w:rFonts w:ascii="Calibri" w:eastAsia="Calibri" w:hAnsi="Calibri" w:cs="Times New Roman"/>
                <w:sz w:val="24"/>
                <w:szCs w:val="24"/>
              </w:rPr>
            </w:pPr>
            <w:r w:rsidRPr="008E29EF">
              <w:rPr>
                <w:rFonts w:ascii="Calibri" w:eastAsia="Calibri" w:hAnsi="Calibri" w:cs="Times New Roman"/>
                <w:sz w:val="24"/>
                <w:szCs w:val="24"/>
              </w:rPr>
              <w:t>2%</w:t>
            </w:r>
          </w:p>
        </w:tc>
        <w:tc>
          <w:tcPr>
            <w:tcW w:w="1080" w:type="dxa"/>
            <w:noWrap/>
            <w:hideMark/>
          </w:tcPr>
          <w:p w:rsidR="00952A95" w:rsidRPr="008E29EF" w:rsidRDefault="00952A95" w:rsidP="00083E23">
            <w:pPr>
              <w:jc w:val="center"/>
              <w:rPr>
                <w:rFonts w:ascii="Calibri" w:eastAsia="Calibri" w:hAnsi="Calibri" w:cs="Times New Roman"/>
                <w:sz w:val="24"/>
                <w:szCs w:val="24"/>
              </w:rPr>
            </w:pPr>
            <w:r w:rsidRPr="008E29EF">
              <w:rPr>
                <w:rFonts w:ascii="Calibri" w:eastAsia="Calibri" w:hAnsi="Calibri" w:cs="Times New Roman"/>
                <w:sz w:val="24"/>
                <w:szCs w:val="24"/>
              </w:rPr>
              <w:t>6%</w:t>
            </w:r>
          </w:p>
        </w:tc>
        <w:tc>
          <w:tcPr>
            <w:tcW w:w="990" w:type="dxa"/>
            <w:noWrap/>
            <w:hideMark/>
          </w:tcPr>
          <w:p w:rsidR="00952A95" w:rsidRPr="008E29EF" w:rsidRDefault="00952A95" w:rsidP="00083E23">
            <w:pPr>
              <w:jc w:val="center"/>
              <w:rPr>
                <w:rFonts w:ascii="Calibri" w:eastAsia="Calibri" w:hAnsi="Calibri" w:cs="Times New Roman"/>
                <w:sz w:val="24"/>
                <w:szCs w:val="24"/>
              </w:rPr>
            </w:pPr>
            <w:r w:rsidRPr="008E29EF">
              <w:rPr>
                <w:rFonts w:ascii="Calibri" w:eastAsia="Calibri" w:hAnsi="Calibri" w:cs="Times New Roman"/>
                <w:sz w:val="24"/>
                <w:szCs w:val="24"/>
              </w:rPr>
              <w:t>9%</w:t>
            </w:r>
          </w:p>
        </w:tc>
        <w:tc>
          <w:tcPr>
            <w:tcW w:w="1142" w:type="dxa"/>
            <w:noWrap/>
            <w:hideMark/>
          </w:tcPr>
          <w:p w:rsidR="00952A95" w:rsidRPr="008E29EF" w:rsidRDefault="00952A95" w:rsidP="00083E23">
            <w:pPr>
              <w:jc w:val="center"/>
              <w:rPr>
                <w:rFonts w:ascii="Calibri" w:eastAsia="Calibri" w:hAnsi="Calibri" w:cs="Times New Roman"/>
                <w:sz w:val="24"/>
                <w:szCs w:val="24"/>
              </w:rPr>
            </w:pPr>
            <w:r w:rsidRPr="008E29EF">
              <w:rPr>
                <w:rFonts w:ascii="Calibri" w:eastAsia="Calibri" w:hAnsi="Calibri" w:cs="Times New Roman"/>
                <w:sz w:val="24"/>
                <w:szCs w:val="24"/>
              </w:rPr>
              <w:t>18%</w:t>
            </w:r>
          </w:p>
        </w:tc>
      </w:tr>
    </w:tbl>
    <w:p w:rsidR="00952A95" w:rsidRDefault="00952A95" w:rsidP="00D64AD0">
      <w:pPr>
        <w:spacing w:after="0" w:line="240" w:lineRule="auto"/>
        <w:rPr>
          <w:sz w:val="28"/>
          <w:szCs w:val="28"/>
        </w:rPr>
      </w:pPr>
    </w:p>
    <w:p w:rsidR="003563BD" w:rsidRPr="00FA796D" w:rsidRDefault="003C25A0" w:rsidP="00D64AD0">
      <w:pPr>
        <w:spacing w:after="0" w:line="240" w:lineRule="auto"/>
        <w:rPr>
          <w:rFonts w:cs="Arial"/>
          <w:color w:val="000000"/>
          <w:sz w:val="24"/>
          <w:szCs w:val="24"/>
          <w:u w:val="single"/>
          <w:shd w:val="clear" w:color="auto" w:fill="FFFFFF"/>
        </w:rPr>
      </w:pPr>
      <w:r w:rsidRPr="00FA796D">
        <w:rPr>
          <w:sz w:val="24"/>
          <w:szCs w:val="24"/>
          <w:u w:val="single"/>
        </w:rPr>
        <w:t xml:space="preserve">While </w:t>
      </w:r>
      <w:r w:rsidR="00FA796D" w:rsidRPr="00FA796D">
        <w:rPr>
          <w:sz w:val="24"/>
          <w:szCs w:val="24"/>
          <w:u w:val="single"/>
        </w:rPr>
        <w:t xml:space="preserve">residential </w:t>
      </w:r>
      <w:r w:rsidRPr="00FA796D">
        <w:rPr>
          <w:sz w:val="24"/>
          <w:szCs w:val="24"/>
          <w:u w:val="single"/>
        </w:rPr>
        <w:t xml:space="preserve">weatherization updates </w:t>
      </w:r>
      <w:r w:rsidR="00FA796D" w:rsidRPr="00FA796D">
        <w:rPr>
          <w:sz w:val="24"/>
          <w:szCs w:val="24"/>
          <w:u w:val="single"/>
        </w:rPr>
        <w:t>are</w:t>
      </w:r>
      <w:r w:rsidRPr="00FA796D">
        <w:rPr>
          <w:sz w:val="24"/>
          <w:szCs w:val="24"/>
          <w:u w:val="single"/>
        </w:rPr>
        <w:t xml:space="preserve"> not tracked for every property,</w:t>
      </w:r>
      <w:r w:rsidR="00C84527" w:rsidRPr="00FA796D">
        <w:rPr>
          <w:sz w:val="24"/>
          <w:szCs w:val="24"/>
          <w:u w:val="single"/>
        </w:rPr>
        <w:t xml:space="preserve"> one way to currently track the direction that </w:t>
      </w:r>
      <w:r w:rsidR="007B5A59" w:rsidRPr="00FA796D">
        <w:rPr>
          <w:u w:val="single"/>
        </w:rPr>
        <w:t>Bradford</w:t>
      </w:r>
      <w:r w:rsidR="007B5A59" w:rsidRPr="00FA796D">
        <w:rPr>
          <w:sz w:val="24"/>
          <w:szCs w:val="24"/>
          <w:u w:val="single"/>
        </w:rPr>
        <w:t xml:space="preserve"> </w:t>
      </w:r>
      <w:r w:rsidR="00C84527" w:rsidRPr="00FA796D">
        <w:rPr>
          <w:sz w:val="24"/>
          <w:szCs w:val="24"/>
          <w:u w:val="single"/>
        </w:rPr>
        <w:t xml:space="preserve">is moving towards those targets is through data provided by Efficiency Vermont. The data </w:t>
      </w:r>
      <w:r w:rsidRPr="00FA796D">
        <w:rPr>
          <w:sz w:val="24"/>
          <w:szCs w:val="24"/>
          <w:u w:val="single"/>
        </w:rPr>
        <w:t>on weatheriza</w:t>
      </w:r>
      <w:r w:rsidR="00C84527" w:rsidRPr="00FA796D">
        <w:rPr>
          <w:sz w:val="24"/>
          <w:szCs w:val="24"/>
          <w:u w:val="single"/>
        </w:rPr>
        <w:t xml:space="preserve">tion upgrades is </w:t>
      </w:r>
      <w:r w:rsidRPr="00FA796D">
        <w:rPr>
          <w:sz w:val="24"/>
          <w:szCs w:val="24"/>
          <w:u w:val="single"/>
        </w:rPr>
        <w:t xml:space="preserve">based on </w:t>
      </w:r>
      <w:r w:rsidR="00C84527" w:rsidRPr="00FA796D">
        <w:rPr>
          <w:sz w:val="24"/>
          <w:szCs w:val="24"/>
          <w:u w:val="single"/>
        </w:rPr>
        <w:t xml:space="preserve">the various rebates that they provide. </w:t>
      </w:r>
      <w:r w:rsidR="008E29EF" w:rsidRPr="00FA796D">
        <w:rPr>
          <w:sz w:val="24"/>
          <w:szCs w:val="24"/>
          <w:u w:val="single"/>
        </w:rPr>
        <w:t>Through the</w:t>
      </w:r>
      <w:r w:rsidR="00702EF0" w:rsidRPr="00FA796D">
        <w:rPr>
          <w:sz w:val="24"/>
          <w:szCs w:val="24"/>
          <w:u w:val="single"/>
        </w:rPr>
        <w:t xml:space="preserve"> </w:t>
      </w:r>
      <w:r w:rsidR="00702EF0" w:rsidRPr="00FA796D">
        <w:rPr>
          <w:i/>
          <w:sz w:val="24"/>
          <w:szCs w:val="24"/>
          <w:u w:val="single"/>
        </w:rPr>
        <w:t xml:space="preserve">Home Performance with Energy Star </w:t>
      </w:r>
      <w:r w:rsidR="00702EF0" w:rsidRPr="00FA796D">
        <w:rPr>
          <w:sz w:val="24"/>
          <w:szCs w:val="24"/>
          <w:u w:val="single"/>
        </w:rPr>
        <w:t xml:space="preserve">program, Efficiency Vermont matches home improvement contractors with property owners. The contractors provide an assessment which includes </w:t>
      </w:r>
      <w:r w:rsidR="00702EF0" w:rsidRPr="00FA796D">
        <w:rPr>
          <w:rFonts w:cs="Arial"/>
          <w:color w:val="000000"/>
          <w:sz w:val="24"/>
          <w:szCs w:val="24"/>
          <w:u w:val="single"/>
          <w:shd w:val="clear" w:color="auto" w:fill="FFFFFF"/>
        </w:rPr>
        <w:t xml:space="preserve">heating and cooling systems, windows, insulation, </w:t>
      </w:r>
      <w:r w:rsidR="00FA796D" w:rsidRPr="00FA796D">
        <w:rPr>
          <w:rFonts w:cs="Arial"/>
          <w:color w:val="000000"/>
          <w:sz w:val="24"/>
          <w:szCs w:val="24"/>
          <w:u w:val="single"/>
          <w:shd w:val="clear" w:color="auto" w:fill="FFFFFF"/>
        </w:rPr>
        <w:t>air circulation</w:t>
      </w:r>
      <w:r w:rsidR="00702EF0" w:rsidRPr="00FA796D">
        <w:rPr>
          <w:rFonts w:cs="Arial"/>
          <w:color w:val="000000"/>
          <w:sz w:val="24"/>
          <w:szCs w:val="24"/>
          <w:u w:val="single"/>
          <w:shd w:val="clear" w:color="auto" w:fill="FFFFFF"/>
        </w:rPr>
        <w:t xml:space="preserve">, </w:t>
      </w:r>
      <w:r w:rsidR="00FA796D" w:rsidRPr="00FA796D">
        <w:rPr>
          <w:rFonts w:cs="Arial"/>
          <w:color w:val="000000"/>
          <w:sz w:val="24"/>
          <w:szCs w:val="24"/>
          <w:u w:val="single"/>
          <w:shd w:val="clear" w:color="auto" w:fill="FFFFFF"/>
        </w:rPr>
        <w:t>and</w:t>
      </w:r>
      <w:r w:rsidR="00702EF0" w:rsidRPr="00FA796D">
        <w:rPr>
          <w:rFonts w:cs="Arial"/>
          <w:color w:val="000000"/>
          <w:sz w:val="24"/>
          <w:szCs w:val="24"/>
          <w:u w:val="single"/>
          <w:shd w:val="clear" w:color="auto" w:fill="FFFFFF"/>
        </w:rPr>
        <w:t xml:space="preserve"> a safety check of gas appliances. Based on this assessment, participating contractors offer solutions to fix comfort problems and address high energy bills. Unlike typical energy audit programs, the goal of Home Performance with ENERGY STAR is to turn recommendations into improved</w:t>
      </w:r>
      <w:r w:rsidR="00FA796D" w:rsidRPr="00FA796D">
        <w:rPr>
          <w:rFonts w:cs="Arial"/>
          <w:color w:val="000000"/>
          <w:sz w:val="24"/>
          <w:szCs w:val="24"/>
          <w:u w:val="single"/>
          <w:shd w:val="clear" w:color="auto" w:fill="FFFFFF"/>
        </w:rPr>
        <w:t>, more efficient</w:t>
      </w:r>
      <w:r w:rsidR="00702EF0" w:rsidRPr="00FA796D">
        <w:rPr>
          <w:rFonts w:cs="Arial"/>
          <w:color w:val="000000"/>
          <w:sz w:val="24"/>
          <w:szCs w:val="24"/>
          <w:u w:val="single"/>
          <w:shd w:val="clear" w:color="auto" w:fill="FFFFFF"/>
        </w:rPr>
        <w:t xml:space="preserve"> homes.</w:t>
      </w:r>
    </w:p>
    <w:p w:rsidR="00393CD3" w:rsidRDefault="00393CD3" w:rsidP="00D64AD0">
      <w:pPr>
        <w:spacing w:after="0" w:line="240" w:lineRule="auto"/>
        <w:rPr>
          <w:rFonts w:cs="Arial"/>
          <w:color w:val="000000"/>
          <w:sz w:val="24"/>
          <w:szCs w:val="24"/>
          <w:shd w:val="clear" w:color="auto" w:fill="FFFFFF"/>
        </w:rPr>
      </w:pPr>
    </w:p>
    <w:p w:rsidR="003563BD" w:rsidRPr="00702EF0" w:rsidRDefault="003563BD" w:rsidP="00D64AD0">
      <w:pPr>
        <w:spacing w:after="0" w:line="240" w:lineRule="auto"/>
        <w:rPr>
          <w:sz w:val="24"/>
          <w:szCs w:val="24"/>
        </w:rPr>
      </w:pPr>
    </w:p>
    <w:tbl>
      <w:tblPr>
        <w:tblStyle w:val="TableGrid"/>
        <w:tblW w:w="0" w:type="auto"/>
        <w:tblLook w:val="04A0" w:firstRow="1" w:lastRow="0" w:firstColumn="1" w:lastColumn="0" w:noHBand="0" w:noVBand="1"/>
      </w:tblPr>
      <w:tblGrid>
        <w:gridCol w:w="2965"/>
        <w:gridCol w:w="1530"/>
        <w:gridCol w:w="1800"/>
        <w:gridCol w:w="1710"/>
        <w:gridCol w:w="1345"/>
      </w:tblGrid>
      <w:tr w:rsidR="00702EF0" w:rsidTr="003563BD">
        <w:tc>
          <w:tcPr>
            <w:tcW w:w="9350" w:type="dxa"/>
            <w:gridSpan w:val="5"/>
            <w:shd w:val="clear" w:color="auto" w:fill="E2EFD9" w:themeFill="accent6" w:themeFillTint="33"/>
          </w:tcPr>
          <w:p w:rsidR="00702EF0" w:rsidRPr="008E29EF" w:rsidRDefault="008E29EF" w:rsidP="00D64AD0">
            <w:pPr>
              <w:rPr>
                <w:b/>
                <w:sz w:val="24"/>
                <w:szCs w:val="24"/>
              </w:rPr>
            </w:pPr>
            <w:r w:rsidRPr="008E29EF">
              <w:rPr>
                <w:b/>
                <w:sz w:val="24"/>
                <w:szCs w:val="24"/>
              </w:rPr>
              <w:t xml:space="preserve">G. </w:t>
            </w:r>
            <w:r w:rsidR="00702EF0" w:rsidRPr="008E29EF">
              <w:rPr>
                <w:b/>
                <w:sz w:val="24"/>
                <w:szCs w:val="24"/>
              </w:rPr>
              <w:t>Efficiency Vermont: Home Performance with ENERGY STAR® Leads</w:t>
            </w:r>
          </w:p>
        </w:tc>
      </w:tr>
      <w:tr w:rsidR="00702EF0" w:rsidTr="003563BD">
        <w:tc>
          <w:tcPr>
            <w:tcW w:w="2965" w:type="dxa"/>
          </w:tcPr>
          <w:p w:rsidR="00702EF0" w:rsidRPr="003563BD" w:rsidRDefault="00702EF0" w:rsidP="00702EF0">
            <w:pPr>
              <w:rPr>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EF0" w:rsidRPr="003563BD" w:rsidRDefault="00702EF0" w:rsidP="00702EF0">
            <w:pPr>
              <w:jc w:val="center"/>
              <w:rPr>
                <w:rFonts w:cs="Arial"/>
                <w:b/>
                <w:bCs/>
                <w:color w:val="000000"/>
                <w:sz w:val="24"/>
                <w:szCs w:val="24"/>
              </w:rPr>
            </w:pPr>
            <w:r w:rsidRPr="003563BD">
              <w:rPr>
                <w:rFonts w:cs="Arial"/>
                <w:b/>
                <w:bCs/>
                <w:color w:val="000000"/>
                <w:sz w:val="24"/>
                <w:szCs w:val="24"/>
              </w:rPr>
              <w:t>2014</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702EF0" w:rsidRPr="003563BD" w:rsidRDefault="00702EF0" w:rsidP="00702EF0">
            <w:pPr>
              <w:jc w:val="center"/>
              <w:rPr>
                <w:rFonts w:cs="Arial"/>
                <w:b/>
                <w:bCs/>
                <w:color w:val="000000"/>
                <w:sz w:val="24"/>
                <w:szCs w:val="24"/>
              </w:rPr>
            </w:pPr>
            <w:r w:rsidRPr="003563BD">
              <w:rPr>
                <w:rFonts w:cs="Arial"/>
                <w:b/>
                <w:bCs/>
                <w:color w:val="000000"/>
                <w:sz w:val="24"/>
                <w:szCs w:val="24"/>
              </w:rPr>
              <w:t>2015</w:t>
            </w:r>
          </w:p>
        </w:tc>
        <w:tc>
          <w:tcPr>
            <w:tcW w:w="1710" w:type="dxa"/>
            <w:tcBorders>
              <w:top w:val="single" w:sz="4" w:space="0" w:color="000000"/>
              <w:left w:val="nil"/>
              <w:bottom w:val="single" w:sz="4" w:space="0" w:color="000000"/>
              <w:right w:val="single" w:sz="4" w:space="0" w:color="000000"/>
            </w:tcBorders>
            <w:shd w:val="clear" w:color="auto" w:fill="auto"/>
            <w:vAlign w:val="center"/>
          </w:tcPr>
          <w:p w:rsidR="00702EF0" w:rsidRPr="003563BD" w:rsidRDefault="00702EF0" w:rsidP="00702EF0">
            <w:pPr>
              <w:jc w:val="center"/>
              <w:rPr>
                <w:rFonts w:cs="Arial"/>
                <w:b/>
                <w:bCs/>
                <w:color w:val="000000"/>
                <w:sz w:val="24"/>
                <w:szCs w:val="24"/>
              </w:rPr>
            </w:pPr>
            <w:r w:rsidRPr="003563BD">
              <w:rPr>
                <w:rFonts w:cs="Arial"/>
                <w:b/>
                <w:bCs/>
                <w:color w:val="000000"/>
                <w:sz w:val="24"/>
                <w:szCs w:val="24"/>
              </w:rPr>
              <w:t>2016</w:t>
            </w:r>
          </w:p>
        </w:tc>
        <w:tc>
          <w:tcPr>
            <w:tcW w:w="1345" w:type="dxa"/>
            <w:tcBorders>
              <w:top w:val="single" w:sz="4" w:space="0" w:color="000000"/>
              <w:left w:val="nil"/>
              <w:bottom w:val="single" w:sz="4" w:space="0" w:color="000000"/>
              <w:right w:val="single" w:sz="4" w:space="0" w:color="000000"/>
            </w:tcBorders>
            <w:shd w:val="clear" w:color="auto" w:fill="auto"/>
            <w:vAlign w:val="center"/>
          </w:tcPr>
          <w:p w:rsidR="00702EF0" w:rsidRPr="003563BD" w:rsidRDefault="00702EF0" w:rsidP="00702EF0">
            <w:pPr>
              <w:jc w:val="center"/>
              <w:rPr>
                <w:rFonts w:cs="Arial"/>
                <w:b/>
                <w:bCs/>
                <w:color w:val="000000"/>
                <w:sz w:val="24"/>
                <w:szCs w:val="24"/>
              </w:rPr>
            </w:pPr>
            <w:r w:rsidRPr="003563BD">
              <w:rPr>
                <w:rFonts w:cs="Arial"/>
                <w:b/>
                <w:bCs/>
                <w:color w:val="000000"/>
                <w:sz w:val="24"/>
                <w:szCs w:val="24"/>
              </w:rPr>
              <w:t>Total</w:t>
            </w:r>
          </w:p>
        </w:tc>
      </w:tr>
      <w:tr w:rsidR="00702EF0" w:rsidTr="003563BD">
        <w:tc>
          <w:tcPr>
            <w:tcW w:w="2965" w:type="dxa"/>
          </w:tcPr>
          <w:p w:rsidR="00702EF0" w:rsidRPr="003563BD" w:rsidRDefault="003563BD" w:rsidP="00702EF0">
            <w:pPr>
              <w:rPr>
                <w:sz w:val="24"/>
                <w:szCs w:val="24"/>
              </w:rPr>
            </w:pPr>
            <w:r w:rsidRPr="003563BD">
              <w:rPr>
                <w:sz w:val="24"/>
                <w:szCs w:val="24"/>
              </w:rPr>
              <w:t>Home Performance with ENERGY STAR® Leads</w:t>
            </w:r>
          </w:p>
        </w:tc>
        <w:tc>
          <w:tcPr>
            <w:tcW w:w="1530" w:type="dxa"/>
          </w:tcPr>
          <w:p w:rsidR="00702EF0" w:rsidRPr="003563BD" w:rsidRDefault="00083E23" w:rsidP="006E3898">
            <w:pPr>
              <w:jc w:val="center"/>
              <w:rPr>
                <w:sz w:val="24"/>
                <w:szCs w:val="24"/>
              </w:rPr>
            </w:pPr>
            <w:r>
              <w:rPr>
                <w:sz w:val="24"/>
                <w:szCs w:val="24"/>
              </w:rPr>
              <w:t>10</w:t>
            </w:r>
          </w:p>
        </w:tc>
        <w:tc>
          <w:tcPr>
            <w:tcW w:w="1800" w:type="dxa"/>
          </w:tcPr>
          <w:p w:rsidR="00702EF0" w:rsidRPr="003563BD" w:rsidRDefault="00083E23" w:rsidP="006E3898">
            <w:pPr>
              <w:jc w:val="center"/>
              <w:rPr>
                <w:sz w:val="24"/>
                <w:szCs w:val="24"/>
              </w:rPr>
            </w:pPr>
            <w:r>
              <w:rPr>
                <w:sz w:val="24"/>
                <w:szCs w:val="24"/>
              </w:rPr>
              <w:t>4</w:t>
            </w:r>
          </w:p>
        </w:tc>
        <w:tc>
          <w:tcPr>
            <w:tcW w:w="1710" w:type="dxa"/>
          </w:tcPr>
          <w:p w:rsidR="00702EF0" w:rsidRPr="003563BD" w:rsidRDefault="00083E23" w:rsidP="006E3898">
            <w:pPr>
              <w:jc w:val="center"/>
              <w:rPr>
                <w:sz w:val="24"/>
                <w:szCs w:val="24"/>
              </w:rPr>
            </w:pPr>
            <w:r>
              <w:rPr>
                <w:sz w:val="24"/>
                <w:szCs w:val="24"/>
              </w:rPr>
              <w:t>2</w:t>
            </w:r>
          </w:p>
        </w:tc>
        <w:tc>
          <w:tcPr>
            <w:tcW w:w="1345" w:type="dxa"/>
          </w:tcPr>
          <w:p w:rsidR="00702EF0" w:rsidRPr="003563BD" w:rsidRDefault="00083E23" w:rsidP="006E3898">
            <w:pPr>
              <w:jc w:val="center"/>
              <w:rPr>
                <w:sz w:val="24"/>
                <w:szCs w:val="24"/>
              </w:rPr>
            </w:pPr>
            <w:r>
              <w:rPr>
                <w:sz w:val="24"/>
                <w:szCs w:val="24"/>
              </w:rPr>
              <w:t>16</w:t>
            </w:r>
          </w:p>
        </w:tc>
      </w:tr>
      <w:tr w:rsidR="00702EF0" w:rsidTr="003563BD">
        <w:tc>
          <w:tcPr>
            <w:tcW w:w="2965" w:type="dxa"/>
          </w:tcPr>
          <w:p w:rsidR="00702EF0" w:rsidRPr="003563BD" w:rsidRDefault="003563BD" w:rsidP="00702EF0">
            <w:pPr>
              <w:rPr>
                <w:sz w:val="24"/>
                <w:szCs w:val="24"/>
              </w:rPr>
            </w:pPr>
            <w:r w:rsidRPr="003563BD">
              <w:rPr>
                <w:sz w:val="24"/>
                <w:szCs w:val="24"/>
              </w:rPr>
              <w:t>Home Performance with ENERGY STAR® Projects</w:t>
            </w:r>
          </w:p>
        </w:tc>
        <w:tc>
          <w:tcPr>
            <w:tcW w:w="1530" w:type="dxa"/>
          </w:tcPr>
          <w:p w:rsidR="00702EF0" w:rsidRPr="003563BD" w:rsidRDefault="00083E23" w:rsidP="006E3898">
            <w:pPr>
              <w:jc w:val="center"/>
              <w:rPr>
                <w:sz w:val="24"/>
                <w:szCs w:val="24"/>
              </w:rPr>
            </w:pPr>
            <w:r>
              <w:rPr>
                <w:sz w:val="24"/>
                <w:szCs w:val="24"/>
              </w:rPr>
              <w:t>5</w:t>
            </w:r>
          </w:p>
        </w:tc>
        <w:tc>
          <w:tcPr>
            <w:tcW w:w="1800" w:type="dxa"/>
          </w:tcPr>
          <w:p w:rsidR="00702EF0" w:rsidRPr="003563BD" w:rsidRDefault="00083E23" w:rsidP="006E3898">
            <w:pPr>
              <w:jc w:val="center"/>
              <w:rPr>
                <w:sz w:val="24"/>
                <w:szCs w:val="24"/>
              </w:rPr>
            </w:pPr>
            <w:r>
              <w:rPr>
                <w:sz w:val="24"/>
                <w:szCs w:val="24"/>
              </w:rPr>
              <w:t>0</w:t>
            </w:r>
          </w:p>
        </w:tc>
        <w:tc>
          <w:tcPr>
            <w:tcW w:w="1710" w:type="dxa"/>
          </w:tcPr>
          <w:p w:rsidR="00702EF0" w:rsidRPr="003563BD" w:rsidRDefault="00083E23" w:rsidP="006E3898">
            <w:pPr>
              <w:jc w:val="center"/>
              <w:rPr>
                <w:sz w:val="24"/>
                <w:szCs w:val="24"/>
              </w:rPr>
            </w:pPr>
            <w:r>
              <w:rPr>
                <w:sz w:val="24"/>
                <w:szCs w:val="24"/>
              </w:rPr>
              <w:t>1</w:t>
            </w:r>
          </w:p>
        </w:tc>
        <w:tc>
          <w:tcPr>
            <w:tcW w:w="1345" w:type="dxa"/>
          </w:tcPr>
          <w:p w:rsidR="00702EF0" w:rsidRPr="003563BD" w:rsidRDefault="00083E23" w:rsidP="006E3898">
            <w:pPr>
              <w:jc w:val="center"/>
              <w:rPr>
                <w:sz w:val="24"/>
                <w:szCs w:val="24"/>
              </w:rPr>
            </w:pPr>
            <w:r>
              <w:rPr>
                <w:sz w:val="24"/>
                <w:szCs w:val="24"/>
              </w:rPr>
              <w:t>6</w:t>
            </w:r>
          </w:p>
        </w:tc>
      </w:tr>
      <w:tr w:rsidR="00702EF0" w:rsidTr="003563BD">
        <w:tc>
          <w:tcPr>
            <w:tcW w:w="2965" w:type="dxa"/>
          </w:tcPr>
          <w:p w:rsidR="00702EF0" w:rsidRPr="003563BD" w:rsidRDefault="003563BD" w:rsidP="003563BD">
            <w:pPr>
              <w:jc w:val="center"/>
              <w:rPr>
                <w:sz w:val="24"/>
                <w:szCs w:val="24"/>
              </w:rPr>
            </w:pPr>
            <w:r w:rsidRPr="003563BD">
              <w:rPr>
                <w:sz w:val="24"/>
                <w:szCs w:val="24"/>
              </w:rPr>
              <w:t>Total Residential Projects (includes Home Performance with ENERGY STAR® projects)</w:t>
            </w:r>
          </w:p>
        </w:tc>
        <w:tc>
          <w:tcPr>
            <w:tcW w:w="1530" w:type="dxa"/>
          </w:tcPr>
          <w:p w:rsidR="00702EF0" w:rsidRPr="003563BD" w:rsidRDefault="00083E23" w:rsidP="006E3898">
            <w:pPr>
              <w:jc w:val="center"/>
              <w:rPr>
                <w:sz w:val="24"/>
                <w:szCs w:val="24"/>
              </w:rPr>
            </w:pPr>
            <w:r>
              <w:rPr>
                <w:sz w:val="24"/>
                <w:szCs w:val="24"/>
              </w:rPr>
              <w:t>20</w:t>
            </w:r>
          </w:p>
        </w:tc>
        <w:tc>
          <w:tcPr>
            <w:tcW w:w="1800" w:type="dxa"/>
          </w:tcPr>
          <w:p w:rsidR="00702EF0" w:rsidRPr="003563BD" w:rsidRDefault="00083E23" w:rsidP="006E3898">
            <w:pPr>
              <w:jc w:val="center"/>
              <w:rPr>
                <w:sz w:val="24"/>
                <w:szCs w:val="24"/>
              </w:rPr>
            </w:pPr>
            <w:r>
              <w:rPr>
                <w:sz w:val="24"/>
                <w:szCs w:val="24"/>
              </w:rPr>
              <w:t>36</w:t>
            </w:r>
          </w:p>
        </w:tc>
        <w:tc>
          <w:tcPr>
            <w:tcW w:w="1710" w:type="dxa"/>
          </w:tcPr>
          <w:p w:rsidR="00702EF0" w:rsidRPr="003563BD" w:rsidRDefault="00083E23" w:rsidP="006E3898">
            <w:pPr>
              <w:jc w:val="center"/>
              <w:rPr>
                <w:sz w:val="24"/>
                <w:szCs w:val="24"/>
              </w:rPr>
            </w:pPr>
            <w:r>
              <w:rPr>
                <w:sz w:val="24"/>
                <w:szCs w:val="24"/>
              </w:rPr>
              <w:t>33</w:t>
            </w:r>
          </w:p>
        </w:tc>
        <w:tc>
          <w:tcPr>
            <w:tcW w:w="1345" w:type="dxa"/>
          </w:tcPr>
          <w:p w:rsidR="00702EF0" w:rsidRPr="003563BD" w:rsidRDefault="00083E23" w:rsidP="006E3898">
            <w:pPr>
              <w:jc w:val="center"/>
              <w:rPr>
                <w:sz w:val="24"/>
                <w:szCs w:val="24"/>
              </w:rPr>
            </w:pPr>
            <w:r>
              <w:rPr>
                <w:sz w:val="24"/>
                <w:szCs w:val="24"/>
              </w:rPr>
              <w:t>89</w:t>
            </w:r>
          </w:p>
        </w:tc>
      </w:tr>
    </w:tbl>
    <w:p w:rsidR="006C4EB3" w:rsidRDefault="006C4EB3"/>
    <w:p w:rsidR="00937E6D" w:rsidRPr="00CA50D5" w:rsidRDefault="002A6925">
      <w:r>
        <w:rPr>
          <w:noProof/>
        </w:rPr>
        <w:lastRenderedPageBreak/>
        <mc:AlternateContent>
          <mc:Choice Requires="wps">
            <w:drawing>
              <wp:anchor distT="45720" distB="45720" distL="114300" distR="114300" simplePos="0" relativeHeight="251655680" behindDoc="0" locked="0" layoutInCell="1" allowOverlap="1">
                <wp:simplePos x="0" y="0"/>
                <wp:positionH relativeFrom="column">
                  <wp:posOffset>3571875</wp:posOffset>
                </wp:positionH>
                <wp:positionV relativeFrom="paragraph">
                  <wp:posOffset>179705</wp:posOffset>
                </wp:positionV>
                <wp:extent cx="2495550" cy="23050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305050"/>
                        </a:xfrm>
                        <a:prstGeom prst="rect">
                          <a:avLst/>
                        </a:prstGeom>
                        <a:solidFill>
                          <a:srgbClr val="FFFFFF"/>
                        </a:solidFill>
                        <a:ln w="9525">
                          <a:solidFill>
                            <a:srgbClr val="000000"/>
                          </a:solidFill>
                          <a:miter lim="800000"/>
                          <a:headEnd/>
                          <a:tailEnd/>
                        </a:ln>
                      </wps:spPr>
                      <wps:txbx>
                        <w:txbxContent>
                          <w:p w:rsidR="00393CD3" w:rsidRDefault="00393CD3" w:rsidP="002A6925">
                            <w:pPr>
                              <w:jc w:val="center"/>
                            </w:pPr>
                            <w:r w:rsidRPr="0079270C">
                              <w:rPr>
                                <w:noProof/>
                              </w:rPr>
                              <w:drawing>
                                <wp:inline distT="0" distB="0" distL="0" distR="0">
                                  <wp:extent cx="1349261" cy="170497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7074" cy="1714848"/>
                                          </a:xfrm>
                                          <a:prstGeom prst="rect">
                                            <a:avLst/>
                                          </a:prstGeom>
                                          <a:noFill/>
                                          <a:ln>
                                            <a:noFill/>
                                          </a:ln>
                                        </pic:spPr>
                                      </pic:pic>
                                    </a:graphicData>
                                  </a:graphic>
                                </wp:inline>
                              </w:drawing>
                            </w:r>
                          </w:p>
                          <w:p w:rsidR="00393CD3" w:rsidRDefault="00393CD3" w:rsidP="00D64AD0">
                            <w:pPr>
                              <w:spacing w:after="0" w:line="240" w:lineRule="auto"/>
                              <w:jc w:val="center"/>
                              <w:rPr>
                                <w:lang w:val="fr-FR"/>
                              </w:rPr>
                            </w:pPr>
                            <w:r w:rsidRPr="00D64AD0">
                              <w:rPr>
                                <w:lang w:val="fr-FR"/>
                              </w:rPr>
                              <w:t>Pellet</w:t>
                            </w:r>
                            <w:r>
                              <w:rPr>
                                <w:lang w:val="fr-FR"/>
                              </w:rPr>
                              <w:t xml:space="preserve"> </w:t>
                            </w:r>
                            <w:proofErr w:type="spellStart"/>
                            <w:r>
                              <w:rPr>
                                <w:lang w:val="fr-FR"/>
                              </w:rPr>
                              <w:t>Stove</w:t>
                            </w:r>
                            <w:proofErr w:type="spellEnd"/>
                          </w:p>
                          <w:p w:rsidR="00393CD3" w:rsidRDefault="00393CD3" w:rsidP="00D64AD0">
                            <w:pPr>
                              <w:spacing w:after="0" w:line="240" w:lineRule="auto"/>
                              <w:jc w:val="center"/>
                              <w:rPr>
                                <w:lang w:val="fr-FR"/>
                              </w:rPr>
                            </w:pPr>
                            <w:r>
                              <w:rPr>
                                <w:lang w:val="fr-FR"/>
                              </w:rPr>
                              <w:t>www.vermontpelletstoves.com</w:t>
                            </w:r>
                          </w:p>
                          <w:p w:rsidR="00393CD3" w:rsidRPr="00D64AD0" w:rsidRDefault="00393CD3" w:rsidP="00D64AD0">
                            <w:pPr>
                              <w:jc w:val="center"/>
                              <w:rPr>
                                <w:lang w:val="fr-FR"/>
                              </w:rPr>
                            </w:pPr>
                          </w:p>
                          <w:p w:rsidR="00393CD3" w:rsidRPr="00D64AD0" w:rsidRDefault="00393CD3" w:rsidP="00D64AD0">
                            <w:pPr>
                              <w:rPr>
                                <w:lang w:val="fr-FR"/>
                              </w:rPr>
                            </w:pPr>
                            <w:r w:rsidRPr="00D64AD0">
                              <w:rPr>
                                <w:lang w:val="fr-FR"/>
                              </w:rPr>
                              <w:t>http://www.vermontpelletstoves.com/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81.25pt;margin-top:14.15pt;width:196.5pt;height:181.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">
                <v:textbox>
                  <w:txbxContent>
                    <w:p w:rsidR="00393CD3" w:rsidRDefault="00393CD3" w:rsidP="002A6925">
                      <w:pPr>
                        <w:jc w:val="center"/>
                      </w:pPr>
                      <w:r w:rsidRPr="0079270C">
                        <w:rPr>
                          <w:noProof/>
                        </w:rPr>
                        <w:drawing>
                          <wp:inline distT="0" distB="0" distL="0" distR="0">
                            <wp:extent cx="1349261" cy="170497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7074" cy="1714848"/>
                                    </a:xfrm>
                                    <a:prstGeom prst="rect">
                                      <a:avLst/>
                                    </a:prstGeom>
                                    <a:noFill/>
                                    <a:ln>
                                      <a:noFill/>
                                    </a:ln>
                                  </pic:spPr>
                                </pic:pic>
                              </a:graphicData>
                            </a:graphic>
                          </wp:inline>
                        </w:drawing>
                      </w:r>
                    </w:p>
                    <w:p w:rsidR="00393CD3" w:rsidRDefault="00393CD3" w:rsidP="00D64AD0">
                      <w:pPr>
                        <w:spacing w:after="0" w:line="240" w:lineRule="auto"/>
                        <w:jc w:val="center"/>
                        <w:rPr>
                          <w:lang w:val="fr-FR"/>
                        </w:rPr>
                      </w:pPr>
                      <w:r w:rsidRPr="00D64AD0">
                        <w:rPr>
                          <w:lang w:val="fr-FR"/>
                        </w:rPr>
                        <w:t>Pellet</w:t>
                      </w:r>
                      <w:r>
                        <w:rPr>
                          <w:lang w:val="fr-FR"/>
                        </w:rPr>
                        <w:t xml:space="preserve"> </w:t>
                      </w:r>
                      <w:proofErr w:type="spellStart"/>
                      <w:r>
                        <w:rPr>
                          <w:lang w:val="fr-FR"/>
                        </w:rPr>
                        <w:t>Stove</w:t>
                      </w:r>
                      <w:proofErr w:type="spellEnd"/>
                    </w:p>
                    <w:p w:rsidR="00393CD3" w:rsidRDefault="00393CD3" w:rsidP="00D64AD0">
                      <w:pPr>
                        <w:spacing w:after="0" w:line="240" w:lineRule="auto"/>
                        <w:jc w:val="center"/>
                        <w:rPr>
                          <w:lang w:val="fr-FR"/>
                        </w:rPr>
                      </w:pPr>
                      <w:r>
                        <w:rPr>
                          <w:lang w:val="fr-FR"/>
                        </w:rPr>
                        <w:t>www.vermontpelletstoves.com</w:t>
                      </w:r>
                    </w:p>
                    <w:p w:rsidR="00393CD3" w:rsidRPr="00D64AD0" w:rsidRDefault="00393CD3" w:rsidP="00D64AD0">
                      <w:pPr>
                        <w:jc w:val="center"/>
                        <w:rPr>
                          <w:lang w:val="fr-FR"/>
                        </w:rPr>
                      </w:pPr>
                    </w:p>
                    <w:p w:rsidR="00393CD3" w:rsidRPr="00D64AD0" w:rsidRDefault="00393CD3" w:rsidP="00D64AD0">
                      <w:pPr>
                        <w:rPr>
                          <w:lang w:val="fr-FR"/>
                        </w:rPr>
                      </w:pPr>
                      <w:r w:rsidRPr="00D64AD0">
                        <w:rPr>
                          <w:lang w:val="fr-FR"/>
                        </w:rPr>
                        <w:t>http://www.vermontpelletstoves.com/</w:t>
                      </w:r>
                    </w:p>
                  </w:txbxContent>
                </v:textbox>
                <w10:wrap type="square"/>
              </v:shape>
            </w:pict>
          </mc:Fallback>
        </mc:AlternateContent>
      </w:r>
      <w:r w:rsidR="003563BD" w:rsidRPr="00CA50D5">
        <w:fldChar w:fldCharType="begin"/>
      </w:r>
      <w:r w:rsidR="003563BD" w:rsidRPr="00CA50D5">
        <w:instrText xml:space="preserve"> LINK </w:instrText>
      </w:r>
      <w:r w:rsidR="00C8643C">
        <w:instrText xml:space="preserve">Excel.Sheet.12 "\\\\TRORC-FS1\\t\\ENERGY\\Act 174 Planning\\Year 2\\Efficiency Vermont data pull 2017 -Two Rivers RPC; updated October 2017.xlsx" "C &amp; I Project Counts!R73C1:R75C9" </w:instrText>
      </w:r>
      <w:r w:rsidR="003563BD" w:rsidRPr="00CA50D5">
        <w:instrText xml:space="preserve">\a \f 4 \h  \* MERGEFORMAT </w:instrText>
      </w:r>
      <w:r w:rsidR="003563BD" w:rsidRPr="00CA50D5">
        <w:fldChar w:fldCharType="separate"/>
      </w:r>
    </w:p>
    <w:tbl>
      <w:tblPr>
        <w:tblW w:w="5152" w:type="dxa"/>
        <w:tblInd w:w="5" w:type="dxa"/>
        <w:tblLook w:val="04A0" w:firstRow="1" w:lastRow="0" w:firstColumn="1" w:lastColumn="0" w:noHBand="0" w:noVBand="1"/>
      </w:tblPr>
      <w:tblGrid>
        <w:gridCol w:w="1061"/>
        <w:gridCol w:w="1257"/>
        <w:gridCol w:w="703"/>
        <w:gridCol w:w="703"/>
        <w:gridCol w:w="703"/>
        <w:gridCol w:w="725"/>
      </w:tblGrid>
      <w:tr w:rsidR="00CA50D5" w:rsidRPr="00CA50D5" w:rsidTr="00CA50D5">
        <w:trPr>
          <w:divId w:val="1877965556"/>
          <w:trHeight w:val="300"/>
        </w:trPr>
        <w:tc>
          <w:tcPr>
            <w:tcW w:w="1291" w:type="dxa"/>
            <w:tcBorders>
              <w:top w:val="single" w:sz="4" w:space="0" w:color="000000"/>
              <w:left w:val="single" w:sz="4" w:space="0" w:color="auto"/>
              <w:bottom w:val="single" w:sz="4" w:space="0" w:color="000000"/>
              <w:right w:val="single" w:sz="4" w:space="0" w:color="000000"/>
            </w:tcBorders>
            <w:shd w:val="clear" w:color="auto" w:fill="auto"/>
            <w:vAlign w:val="center"/>
          </w:tcPr>
          <w:p w:rsidR="00CA50D5" w:rsidRPr="00CA50D5" w:rsidRDefault="00CA50D5" w:rsidP="00CA50D5">
            <w:pPr>
              <w:spacing w:after="0" w:line="240" w:lineRule="auto"/>
              <w:jc w:val="both"/>
              <w:rPr>
                <w:rFonts w:ascii="Arial" w:eastAsia="Times New Roman" w:hAnsi="Arial" w:cs="Arial"/>
                <w:color w:val="000000"/>
                <w:sz w:val="20"/>
                <w:szCs w:val="20"/>
              </w:rPr>
            </w:pPr>
          </w:p>
        </w:tc>
        <w:tc>
          <w:tcPr>
            <w:tcW w:w="1286" w:type="dxa"/>
            <w:tcBorders>
              <w:top w:val="single" w:sz="4" w:space="0" w:color="000000"/>
              <w:left w:val="nil"/>
              <w:bottom w:val="single" w:sz="4" w:space="0" w:color="000000"/>
              <w:right w:val="single" w:sz="4" w:space="0" w:color="000000"/>
            </w:tcBorders>
            <w:shd w:val="clear" w:color="auto" w:fill="auto"/>
            <w:vAlign w:val="bottom"/>
          </w:tcPr>
          <w:p w:rsidR="00CA50D5" w:rsidRPr="00CA50D5" w:rsidRDefault="00CA50D5" w:rsidP="00CA50D5">
            <w:pPr>
              <w:spacing w:after="0" w:line="240" w:lineRule="auto"/>
              <w:jc w:val="both"/>
              <w:rPr>
                <w:rFonts w:ascii="Arial" w:eastAsia="Times New Roman" w:hAnsi="Arial" w:cs="Arial"/>
                <w:b/>
                <w:bCs/>
                <w:color w:val="000000"/>
                <w:sz w:val="20"/>
                <w:szCs w:val="20"/>
              </w:rPr>
            </w:pPr>
          </w:p>
        </w:tc>
        <w:tc>
          <w:tcPr>
            <w:tcW w:w="621" w:type="dxa"/>
            <w:tcBorders>
              <w:top w:val="single" w:sz="4" w:space="0" w:color="000000"/>
              <w:left w:val="nil"/>
              <w:bottom w:val="single" w:sz="4" w:space="0" w:color="000000"/>
              <w:right w:val="single" w:sz="4" w:space="0" w:color="000000"/>
            </w:tcBorders>
            <w:shd w:val="clear" w:color="auto" w:fill="auto"/>
            <w:vAlign w:val="center"/>
          </w:tcPr>
          <w:p w:rsidR="00CA50D5" w:rsidRPr="00CA50D5" w:rsidRDefault="00CA50D5" w:rsidP="00CA50D5">
            <w:pPr>
              <w:jc w:val="both"/>
              <w:rPr>
                <w:rFonts w:cs="Arial"/>
                <w:b/>
                <w:bCs/>
                <w:color w:val="000000"/>
                <w:sz w:val="24"/>
                <w:szCs w:val="24"/>
              </w:rPr>
            </w:pPr>
            <w:r w:rsidRPr="00CA50D5">
              <w:rPr>
                <w:rFonts w:cs="Arial"/>
                <w:b/>
                <w:bCs/>
                <w:color w:val="000000"/>
                <w:sz w:val="24"/>
                <w:szCs w:val="24"/>
              </w:rPr>
              <w:t>2014</w:t>
            </w:r>
          </w:p>
        </w:tc>
        <w:tc>
          <w:tcPr>
            <w:tcW w:w="621" w:type="dxa"/>
            <w:tcBorders>
              <w:top w:val="single" w:sz="4" w:space="0" w:color="000000"/>
              <w:left w:val="nil"/>
              <w:bottom w:val="single" w:sz="4" w:space="0" w:color="000000"/>
              <w:right w:val="single" w:sz="4" w:space="0" w:color="000000"/>
            </w:tcBorders>
            <w:shd w:val="clear" w:color="auto" w:fill="auto"/>
            <w:vAlign w:val="center"/>
          </w:tcPr>
          <w:p w:rsidR="00CA50D5" w:rsidRPr="00CA50D5" w:rsidRDefault="00CA50D5" w:rsidP="00CA50D5">
            <w:pPr>
              <w:jc w:val="both"/>
              <w:rPr>
                <w:rFonts w:cs="Arial"/>
                <w:b/>
                <w:bCs/>
                <w:color w:val="000000"/>
                <w:sz w:val="24"/>
                <w:szCs w:val="24"/>
              </w:rPr>
            </w:pPr>
            <w:r w:rsidRPr="00CA50D5">
              <w:rPr>
                <w:rFonts w:cs="Arial"/>
                <w:b/>
                <w:bCs/>
                <w:color w:val="000000"/>
                <w:sz w:val="24"/>
                <w:szCs w:val="24"/>
              </w:rPr>
              <w:t>2015</w:t>
            </w:r>
          </w:p>
        </w:tc>
        <w:tc>
          <w:tcPr>
            <w:tcW w:w="621" w:type="dxa"/>
            <w:tcBorders>
              <w:top w:val="single" w:sz="4" w:space="0" w:color="000000"/>
              <w:left w:val="nil"/>
              <w:bottom w:val="single" w:sz="4" w:space="0" w:color="000000"/>
              <w:right w:val="single" w:sz="4" w:space="0" w:color="000000"/>
            </w:tcBorders>
            <w:shd w:val="clear" w:color="auto" w:fill="auto"/>
            <w:vAlign w:val="center"/>
          </w:tcPr>
          <w:p w:rsidR="00CA50D5" w:rsidRPr="00CA50D5" w:rsidRDefault="00CA50D5" w:rsidP="00CA50D5">
            <w:pPr>
              <w:jc w:val="both"/>
              <w:rPr>
                <w:rFonts w:cs="Arial"/>
                <w:b/>
                <w:bCs/>
                <w:color w:val="000000"/>
                <w:sz w:val="24"/>
                <w:szCs w:val="24"/>
              </w:rPr>
            </w:pPr>
            <w:r w:rsidRPr="00CA50D5">
              <w:rPr>
                <w:rFonts w:cs="Arial"/>
                <w:b/>
                <w:bCs/>
                <w:color w:val="000000"/>
                <w:sz w:val="24"/>
                <w:szCs w:val="24"/>
              </w:rPr>
              <w:t>2016</w:t>
            </w:r>
          </w:p>
        </w:tc>
        <w:tc>
          <w:tcPr>
            <w:tcW w:w="712" w:type="dxa"/>
            <w:tcBorders>
              <w:top w:val="nil"/>
              <w:left w:val="nil"/>
              <w:bottom w:val="single" w:sz="4" w:space="0" w:color="000000"/>
              <w:right w:val="single" w:sz="4" w:space="0" w:color="000000"/>
            </w:tcBorders>
            <w:shd w:val="clear" w:color="auto" w:fill="auto"/>
            <w:vAlign w:val="center"/>
          </w:tcPr>
          <w:p w:rsidR="00CA50D5" w:rsidRPr="00CA50D5" w:rsidRDefault="00CA50D5" w:rsidP="00CA50D5">
            <w:pPr>
              <w:jc w:val="both"/>
              <w:rPr>
                <w:rFonts w:cs="Arial"/>
                <w:b/>
                <w:bCs/>
                <w:color w:val="000000"/>
                <w:sz w:val="24"/>
                <w:szCs w:val="24"/>
              </w:rPr>
            </w:pPr>
            <w:r w:rsidRPr="00CA50D5">
              <w:rPr>
                <w:rFonts w:cs="Arial"/>
                <w:b/>
                <w:bCs/>
                <w:color w:val="000000"/>
                <w:sz w:val="24"/>
                <w:szCs w:val="24"/>
              </w:rPr>
              <w:t>Total</w:t>
            </w:r>
          </w:p>
        </w:tc>
      </w:tr>
      <w:tr w:rsidR="00CA50D5" w:rsidRPr="00CA50D5" w:rsidTr="00CA50D5">
        <w:trPr>
          <w:divId w:val="1877965556"/>
          <w:trHeight w:val="300"/>
        </w:trPr>
        <w:tc>
          <w:tcPr>
            <w:tcW w:w="129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CA50D5" w:rsidRPr="00CA50D5" w:rsidRDefault="00CA50D5" w:rsidP="00CA50D5">
            <w:pPr>
              <w:spacing w:after="0" w:line="240" w:lineRule="auto"/>
              <w:jc w:val="both"/>
              <w:rPr>
                <w:rFonts w:ascii="Arial" w:eastAsia="Times New Roman" w:hAnsi="Arial" w:cs="Arial"/>
                <w:color w:val="000000"/>
                <w:sz w:val="20"/>
                <w:szCs w:val="20"/>
              </w:rPr>
            </w:pPr>
            <w:r w:rsidRPr="00CA50D5">
              <w:rPr>
                <w:rFonts w:ascii="Arial" w:eastAsia="Times New Roman" w:hAnsi="Arial" w:cs="Arial"/>
                <w:color w:val="000000"/>
                <w:sz w:val="20"/>
                <w:szCs w:val="20"/>
              </w:rPr>
              <w:t>Bradford</w:t>
            </w:r>
          </w:p>
        </w:tc>
        <w:tc>
          <w:tcPr>
            <w:tcW w:w="1286" w:type="dxa"/>
            <w:tcBorders>
              <w:top w:val="single" w:sz="4" w:space="0" w:color="000000"/>
              <w:left w:val="nil"/>
              <w:bottom w:val="single" w:sz="4" w:space="0" w:color="000000"/>
              <w:right w:val="single" w:sz="4" w:space="0" w:color="000000"/>
            </w:tcBorders>
            <w:shd w:val="clear" w:color="auto" w:fill="auto"/>
            <w:vAlign w:val="bottom"/>
            <w:hideMark/>
          </w:tcPr>
          <w:p w:rsidR="00CA50D5" w:rsidRPr="00CA50D5" w:rsidRDefault="00CA50D5" w:rsidP="00CA50D5">
            <w:pPr>
              <w:spacing w:after="0" w:line="240" w:lineRule="auto"/>
              <w:jc w:val="both"/>
              <w:rPr>
                <w:rFonts w:ascii="Arial" w:eastAsia="Times New Roman" w:hAnsi="Arial" w:cs="Arial"/>
                <w:b/>
                <w:bCs/>
                <w:color w:val="000000"/>
                <w:sz w:val="18"/>
                <w:szCs w:val="18"/>
              </w:rPr>
            </w:pPr>
            <w:r w:rsidRPr="00CA50D5">
              <w:rPr>
                <w:rFonts w:ascii="Arial" w:eastAsia="Times New Roman" w:hAnsi="Arial" w:cs="Arial"/>
                <w:b/>
                <w:bCs/>
                <w:color w:val="000000"/>
                <w:sz w:val="18"/>
                <w:szCs w:val="18"/>
              </w:rPr>
              <w:t>Commercial &amp; Industrial Customer Served</w:t>
            </w:r>
          </w:p>
        </w:tc>
        <w:tc>
          <w:tcPr>
            <w:tcW w:w="621" w:type="dxa"/>
            <w:tcBorders>
              <w:top w:val="single" w:sz="4" w:space="0" w:color="000000"/>
              <w:left w:val="nil"/>
              <w:bottom w:val="single" w:sz="4" w:space="0" w:color="000000"/>
              <w:right w:val="single" w:sz="4" w:space="0" w:color="000000"/>
            </w:tcBorders>
            <w:shd w:val="clear" w:color="auto" w:fill="auto"/>
            <w:vAlign w:val="bottom"/>
            <w:hideMark/>
          </w:tcPr>
          <w:p w:rsidR="00CA50D5" w:rsidRPr="00CA50D5" w:rsidRDefault="00CA50D5" w:rsidP="00CA50D5">
            <w:pPr>
              <w:spacing w:after="0" w:line="240" w:lineRule="auto"/>
              <w:jc w:val="center"/>
              <w:rPr>
                <w:rFonts w:ascii="Arial" w:eastAsia="Times New Roman" w:hAnsi="Arial" w:cs="Arial"/>
                <w:b/>
                <w:bCs/>
                <w:color w:val="000000"/>
                <w:sz w:val="20"/>
                <w:szCs w:val="20"/>
              </w:rPr>
            </w:pPr>
            <w:r w:rsidRPr="00CA50D5">
              <w:rPr>
                <w:rFonts w:ascii="Arial" w:eastAsia="Times New Roman" w:hAnsi="Arial" w:cs="Arial"/>
                <w:b/>
                <w:bCs/>
                <w:color w:val="000000"/>
                <w:sz w:val="20"/>
                <w:szCs w:val="20"/>
              </w:rPr>
              <w:t>5</w:t>
            </w:r>
          </w:p>
        </w:tc>
        <w:tc>
          <w:tcPr>
            <w:tcW w:w="621" w:type="dxa"/>
            <w:tcBorders>
              <w:top w:val="single" w:sz="4" w:space="0" w:color="000000"/>
              <w:left w:val="nil"/>
              <w:bottom w:val="single" w:sz="4" w:space="0" w:color="000000"/>
              <w:right w:val="single" w:sz="4" w:space="0" w:color="000000"/>
            </w:tcBorders>
            <w:shd w:val="clear" w:color="auto" w:fill="auto"/>
            <w:vAlign w:val="bottom"/>
            <w:hideMark/>
          </w:tcPr>
          <w:p w:rsidR="00CA50D5" w:rsidRPr="00CA50D5" w:rsidRDefault="00CA50D5" w:rsidP="00CA50D5">
            <w:pPr>
              <w:spacing w:after="0" w:line="240" w:lineRule="auto"/>
              <w:jc w:val="center"/>
              <w:rPr>
                <w:rFonts w:ascii="Arial" w:eastAsia="Times New Roman" w:hAnsi="Arial" w:cs="Arial"/>
                <w:b/>
                <w:bCs/>
                <w:color w:val="000000"/>
                <w:sz w:val="20"/>
                <w:szCs w:val="20"/>
              </w:rPr>
            </w:pPr>
            <w:r w:rsidRPr="00CA50D5">
              <w:rPr>
                <w:rFonts w:ascii="Arial" w:eastAsia="Times New Roman" w:hAnsi="Arial" w:cs="Arial"/>
                <w:b/>
                <w:bCs/>
                <w:color w:val="000000"/>
                <w:sz w:val="20"/>
                <w:szCs w:val="20"/>
              </w:rPr>
              <w:t>7</w:t>
            </w:r>
          </w:p>
        </w:tc>
        <w:tc>
          <w:tcPr>
            <w:tcW w:w="621" w:type="dxa"/>
            <w:tcBorders>
              <w:top w:val="single" w:sz="4" w:space="0" w:color="000000"/>
              <w:left w:val="nil"/>
              <w:bottom w:val="single" w:sz="4" w:space="0" w:color="000000"/>
              <w:right w:val="single" w:sz="4" w:space="0" w:color="000000"/>
            </w:tcBorders>
            <w:shd w:val="clear" w:color="auto" w:fill="auto"/>
            <w:vAlign w:val="bottom"/>
            <w:hideMark/>
          </w:tcPr>
          <w:p w:rsidR="00CA50D5" w:rsidRPr="00CA50D5" w:rsidRDefault="00CA50D5" w:rsidP="00CA50D5">
            <w:pPr>
              <w:spacing w:after="0" w:line="240" w:lineRule="auto"/>
              <w:jc w:val="center"/>
              <w:rPr>
                <w:rFonts w:ascii="Arial" w:eastAsia="Times New Roman" w:hAnsi="Arial" w:cs="Arial"/>
                <w:b/>
                <w:bCs/>
                <w:color w:val="000000"/>
                <w:sz w:val="20"/>
                <w:szCs w:val="20"/>
              </w:rPr>
            </w:pPr>
            <w:r w:rsidRPr="00CA50D5">
              <w:rPr>
                <w:rFonts w:ascii="Arial" w:eastAsia="Times New Roman" w:hAnsi="Arial" w:cs="Arial"/>
                <w:b/>
                <w:bCs/>
                <w:color w:val="000000"/>
                <w:sz w:val="20"/>
                <w:szCs w:val="20"/>
              </w:rPr>
              <w:t>77</w:t>
            </w:r>
          </w:p>
        </w:tc>
        <w:tc>
          <w:tcPr>
            <w:tcW w:w="712" w:type="dxa"/>
            <w:tcBorders>
              <w:top w:val="nil"/>
              <w:left w:val="nil"/>
              <w:bottom w:val="single" w:sz="4" w:space="0" w:color="000000"/>
              <w:right w:val="single" w:sz="4" w:space="0" w:color="000000"/>
            </w:tcBorders>
            <w:shd w:val="clear" w:color="auto" w:fill="auto"/>
            <w:vAlign w:val="bottom"/>
            <w:hideMark/>
          </w:tcPr>
          <w:p w:rsidR="00CA50D5" w:rsidRPr="00CA50D5" w:rsidRDefault="00CA50D5" w:rsidP="00CA50D5">
            <w:pPr>
              <w:spacing w:after="0" w:line="240" w:lineRule="auto"/>
              <w:jc w:val="center"/>
              <w:rPr>
                <w:rFonts w:ascii="Arial" w:eastAsia="Times New Roman" w:hAnsi="Arial" w:cs="Arial"/>
                <w:b/>
                <w:bCs/>
                <w:color w:val="000000"/>
                <w:sz w:val="20"/>
                <w:szCs w:val="20"/>
              </w:rPr>
            </w:pPr>
            <w:r w:rsidRPr="00CA50D5">
              <w:rPr>
                <w:rFonts w:ascii="Arial" w:eastAsia="Times New Roman" w:hAnsi="Arial" w:cs="Arial"/>
                <w:b/>
                <w:bCs/>
                <w:color w:val="000000"/>
                <w:sz w:val="20"/>
                <w:szCs w:val="20"/>
              </w:rPr>
              <w:t>89</w:t>
            </w:r>
          </w:p>
        </w:tc>
      </w:tr>
      <w:tr w:rsidR="00CA50D5" w:rsidRPr="00CA50D5" w:rsidTr="00CA50D5">
        <w:trPr>
          <w:divId w:val="1877965556"/>
          <w:trHeight w:val="578"/>
        </w:trPr>
        <w:tc>
          <w:tcPr>
            <w:tcW w:w="1291" w:type="dxa"/>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CA50D5" w:rsidRPr="00CA50D5" w:rsidRDefault="00CA50D5" w:rsidP="00CA50D5">
            <w:pPr>
              <w:spacing w:after="0" w:line="240" w:lineRule="auto"/>
              <w:rPr>
                <w:rFonts w:ascii="Arial" w:eastAsia="Times New Roman" w:hAnsi="Arial" w:cs="Arial"/>
                <w:b/>
                <w:bCs/>
                <w:color w:val="000000"/>
                <w:sz w:val="18"/>
                <w:szCs w:val="18"/>
              </w:rPr>
            </w:pPr>
          </w:p>
        </w:tc>
        <w:tc>
          <w:tcPr>
            <w:tcW w:w="1286" w:type="dxa"/>
            <w:tcBorders>
              <w:top w:val="single" w:sz="4" w:space="0" w:color="000000"/>
              <w:left w:val="nil"/>
              <w:bottom w:val="single" w:sz="4" w:space="0" w:color="000000"/>
              <w:right w:val="single" w:sz="4" w:space="0" w:color="000000"/>
            </w:tcBorders>
            <w:shd w:val="clear" w:color="auto" w:fill="auto"/>
            <w:vAlign w:val="bottom"/>
            <w:hideMark/>
          </w:tcPr>
          <w:p w:rsidR="00CA50D5" w:rsidRPr="00CA50D5" w:rsidRDefault="00CA50D5" w:rsidP="00CA50D5">
            <w:pPr>
              <w:spacing w:after="0" w:line="240" w:lineRule="auto"/>
              <w:jc w:val="right"/>
              <w:rPr>
                <w:rFonts w:ascii="Arial" w:eastAsia="Times New Roman" w:hAnsi="Arial" w:cs="Arial"/>
                <w:b/>
                <w:bCs/>
                <w:color w:val="000000"/>
                <w:sz w:val="18"/>
                <w:szCs w:val="18"/>
              </w:rPr>
            </w:pPr>
            <w:r w:rsidRPr="00CA50D5">
              <w:rPr>
                <w:rFonts w:ascii="Arial" w:eastAsia="Times New Roman" w:hAnsi="Arial" w:cs="Arial"/>
                <w:b/>
                <w:bCs/>
                <w:color w:val="000000"/>
                <w:sz w:val="18"/>
                <w:szCs w:val="18"/>
              </w:rPr>
              <w:t>Commercial &amp; Industrial Projects</w:t>
            </w:r>
          </w:p>
        </w:tc>
        <w:tc>
          <w:tcPr>
            <w:tcW w:w="621" w:type="dxa"/>
            <w:tcBorders>
              <w:top w:val="nil"/>
              <w:left w:val="nil"/>
              <w:bottom w:val="single" w:sz="4" w:space="0" w:color="000000"/>
              <w:right w:val="single" w:sz="4" w:space="0" w:color="000000"/>
            </w:tcBorders>
            <w:shd w:val="clear" w:color="auto" w:fill="auto"/>
            <w:vAlign w:val="bottom"/>
            <w:hideMark/>
          </w:tcPr>
          <w:p w:rsidR="00CA50D5" w:rsidRPr="00CA50D5" w:rsidRDefault="00CA50D5" w:rsidP="00CA50D5">
            <w:pPr>
              <w:spacing w:after="0" w:line="240" w:lineRule="auto"/>
              <w:jc w:val="center"/>
              <w:rPr>
                <w:rFonts w:ascii="Arial" w:eastAsia="Times New Roman" w:hAnsi="Arial" w:cs="Arial"/>
                <w:color w:val="000000"/>
                <w:sz w:val="20"/>
                <w:szCs w:val="20"/>
              </w:rPr>
            </w:pPr>
            <w:r w:rsidRPr="00CA50D5">
              <w:rPr>
                <w:rFonts w:ascii="Arial" w:eastAsia="Times New Roman" w:hAnsi="Arial" w:cs="Arial"/>
                <w:color w:val="000000"/>
                <w:sz w:val="20"/>
                <w:szCs w:val="20"/>
              </w:rPr>
              <w:t>38</w:t>
            </w:r>
          </w:p>
        </w:tc>
        <w:tc>
          <w:tcPr>
            <w:tcW w:w="621" w:type="dxa"/>
            <w:tcBorders>
              <w:top w:val="nil"/>
              <w:left w:val="nil"/>
              <w:bottom w:val="single" w:sz="4" w:space="0" w:color="000000"/>
              <w:right w:val="single" w:sz="4" w:space="0" w:color="000000"/>
            </w:tcBorders>
            <w:shd w:val="clear" w:color="auto" w:fill="auto"/>
            <w:vAlign w:val="bottom"/>
            <w:hideMark/>
          </w:tcPr>
          <w:p w:rsidR="00CA50D5" w:rsidRPr="00CA50D5" w:rsidRDefault="00CA50D5" w:rsidP="00CA50D5">
            <w:pPr>
              <w:spacing w:after="0" w:line="240" w:lineRule="auto"/>
              <w:jc w:val="center"/>
              <w:rPr>
                <w:rFonts w:ascii="Arial" w:eastAsia="Times New Roman" w:hAnsi="Arial" w:cs="Arial"/>
                <w:color w:val="000000"/>
                <w:sz w:val="20"/>
                <w:szCs w:val="20"/>
              </w:rPr>
            </w:pPr>
            <w:r w:rsidRPr="00CA50D5">
              <w:rPr>
                <w:rFonts w:ascii="Arial" w:eastAsia="Times New Roman" w:hAnsi="Arial" w:cs="Arial"/>
                <w:color w:val="000000"/>
                <w:sz w:val="20"/>
                <w:szCs w:val="20"/>
              </w:rPr>
              <w:t>59</w:t>
            </w:r>
          </w:p>
        </w:tc>
        <w:tc>
          <w:tcPr>
            <w:tcW w:w="621" w:type="dxa"/>
            <w:tcBorders>
              <w:top w:val="nil"/>
              <w:left w:val="nil"/>
              <w:bottom w:val="single" w:sz="4" w:space="0" w:color="000000"/>
              <w:right w:val="single" w:sz="4" w:space="0" w:color="000000"/>
            </w:tcBorders>
            <w:shd w:val="clear" w:color="auto" w:fill="auto"/>
            <w:vAlign w:val="bottom"/>
            <w:hideMark/>
          </w:tcPr>
          <w:p w:rsidR="00CA50D5" w:rsidRPr="00CA50D5" w:rsidRDefault="00CA50D5" w:rsidP="00CA50D5">
            <w:pPr>
              <w:spacing w:after="0" w:line="240" w:lineRule="auto"/>
              <w:jc w:val="center"/>
              <w:rPr>
                <w:rFonts w:ascii="Arial" w:eastAsia="Times New Roman" w:hAnsi="Arial" w:cs="Arial"/>
                <w:b/>
                <w:bCs/>
                <w:color w:val="000000"/>
                <w:sz w:val="20"/>
                <w:szCs w:val="20"/>
              </w:rPr>
            </w:pPr>
            <w:r w:rsidRPr="00CA50D5">
              <w:rPr>
                <w:rFonts w:ascii="Arial" w:eastAsia="Times New Roman" w:hAnsi="Arial" w:cs="Arial"/>
                <w:b/>
                <w:bCs/>
                <w:color w:val="000000"/>
                <w:sz w:val="20"/>
                <w:szCs w:val="20"/>
              </w:rPr>
              <w:t>61</w:t>
            </w:r>
          </w:p>
        </w:tc>
        <w:tc>
          <w:tcPr>
            <w:tcW w:w="712" w:type="dxa"/>
            <w:tcBorders>
              <w:top w:val="nil"/>
              <w:left w:val="nil"/>
              <w:bottom w:val="single" w:sz="4" w:space="0" w:color="000000"/>
              <w:right w:val="single" w:sz="4" w:space="0" w:color="000000"/>
            </w:tcBorders>
            <w:shd w:val="clear" w:color="auto" w:fill="auto"/>
            <w:vAlign w:val="bottom"/>
            <w:hideMark/>
          </w:tcPr>
          <w:p w:rsidR="00CA50D5" w:rsidRPr="00CA50D5" w:rsidRDefault="00CA50D5" w:rsidP="00CA50D5">
            <w:pPr>
              <w:spacing w:after="0" w:line="240" w:lineRule="auto"/>
              <w:jc w:val="center"/>
              <w:rPr>
                <w:rFonts w:ascii="Arial" w:eastAsia="Times New Roman" w:hAnsi="Arial" w:cs="Arial"/>
                <w:b/>
                <w:bCs/>
                <w:color w:val="000000"/>
                <w:sz w:val="20"/>
                <w:szCs w:val="20"/>
              </w:rPr>
            </w:pPr>
            <w:r w:rsidRPr="00CA50D5">
              <w:rPr>
                <w:rFonts w:ascii="Arial" w:eastAsia="Times New Roman" w:hAnsi="Arial" w:cs="Arial"/>
                <w:b/>
                <w:bCs/>
                <w:color w:val="000000"/>
                <w:sz w:val="20"/>
                <w:szCs w:val="20"/>
              </w:rPr>
              <w:t>158</w:t>
            </w:r>
          </w:p>
        </w:tc>
      </w:tr>
    </w:tbl>
    <w:p w:rsidR="003563BD" w:rsidRDefault="003563BD">
      <w:pPr>
        <w:rPr>
          <w:sz w:val="28"/>
          <w:szCs w:val="28"/>
        </w:rPr>
      </w:pPr>
      <w:r w:rsidRPr="00CA50D5">
        <w:rPr>
          <w:sz w:val="28"/>
          <w:szCs w:val="28"/>
        </w:rPr>
        <w:fldChar w:fldCharType="end"/>
      </w:r>
    </w:p>
    <w:p w:rsidR="00952A95" w:rsidRPr="00FA796D" w:rsidRDefault="00952A95" w:rsidP="00952A95">
      <w:pPr>
        <w:rPr>
          <w:rFonts w:ascii="Calibri" w:eastAsia="Calibri" w:hAnsi="Calibri" w:cs="Times New Roman"/>
          <w:u w:val="single"/>
        </w:rPr>
      </w:pPr>
      <w:r w:rsidRPr="00FA796D">
        <w:rPr>
          <w:rFonts w:ascii="Calibri" w:eastAsia="Calibri" w:hAnsi="Calibri" w:cs="Times New Roman"/>
          <w:u w:val="single"/>
        </w:rPr>
        <w:t>In order to meet t</w:t>
      </w:r>
      <w:r w:rsidR="004B7565" w:rsidRPr="00FA796D">
        <w:rPr>
          <w:rFonts w:ascii="Calibri" w:eastAsia="Calibri" w:hAnsi="Calibri" w:cs="Times New Roman"/>
          <w:u w:val="single"/>
        </w:rPr>
        <w:t>he various overall targets below</w:t>
      </w:r>
      <w:r w:rsidRPr="00FA796D">
        <w:rPr>
          <w:rFonts w:ascii="Calibri" w:eastAsia="Calibri" w:hAnsi="Calibri" w:cs="Times New Roman"/>
          <w:u w:val="single"/>
        </w:rPr>
        <w:t>, residents</w:t>
      </w:r>
      <w:r w:rsidR="00E3177E" w:rsidRPr="00FA796D">
        <w:rPr>
          <w:rFonts w:ascii="Calibri" w:eastAsia="Calibri" w:hAnsi="Calibri" w:cs="Times New Roman"/>
          <w:u w:val="single"/>
        </w:rPr>
        <w:t xml:space="preserve"> and business</w:t>
      </w:r>
      <w:r w:rsidRPr="00FA796D">
        <w:rPr>
          <w:rFonts w:ascii="Calibri" w:eastAsia="Calibri" w:hAnsi="Calibri" w:cs="Times New Roman"/>
          <w:u w:val="single"/>
        </w:rPr>
        <w:t xml:space="preserve"> will </w:t>
      </w:r>
      <w:r w:rsidR="00FA796D" w:rsidRPr="00FA796D">
        <w:rPr>
          <w:rFonts w:ascii="Calibri" w:eastAsia="Calibri" w:hAnsi="Calibri" w:cs="Times New Roman"/>
          <w:u w:val="single"/>
        </w:rPr>
        <w:t xml:space="preserve">need </w:t>
      </w:r>
      <w:r w:rsidRPr="00FA796D">
        <w:rPr>
          <w:rFonts w:ascii="Calibri" w:eastAsia="Calibri" w:hAnsi="Calibri" w:cs="Times New Roman"/>
          <w:u w:val="single"/>
        </w:rPr>
        <w:t>to convert to more efficient technologies.</w:t>
      </w:r>
      <w:r w:rsidR="008E29EF" w:rsidRPr="00FA796D">
        <w:rPr>
          <w:rFonts w:ascii="Calibri" w:eastAsia="Calibri" w:hAnsi="Calibri" w:cs="Times New Roman"/>
          <w:u w:val="single"/>
        </w:rPr>
        <w:t xml:space="preserve"> Table I sets the targets for the percentage of heating energy use coming from renewable sources. The targets in Table J</w:t>
      </w:r>
      <w:r w:rsidRPr="00FA796D">
        <w:rPr>
          <w:rFonts w:ascii="Calibri" w:eastAsia="Calibri" w:hAnsi="Calibri" w:cs="Times New Roman"/>
          <w:u w:val="single"/>
        </w:rPr>
        <w:t xml:space="preserve"> were calculated using data from LEAP and ACS. This table provides a</w:t>
      </w:r>
      <w:r w:rsidR="008E29EF" w:rsidRPr="00FA796D">
        <w:rPr>
          <w:rFonts w:ascii="Calibri" w:eastAsia="Calibri" w:hAnsi="Calibri" w:cs="Times New Roman"/>
          <w:u w:val="single"/>
        </w:rPr>
        <w:t xml:space="preserve"> snapshot for two ways to meet the renewable energy use heating target through efficient</w:t>
      </w:r>
      <w:r w:rsidRPr="00FA796D">
        <w:rPr>
          <w:rFonts w:ascii="Calibri" w:eastAsia="Calibri" w:hAnsi="Calibri" w:cs="Times New Roman"/>
          <w:u w:val="single"/>
        </w:rPr>
        <w:t xml:space="preserve"> wood heating systems</w:t>
      </w:r>
      <w:r w:rsidR="008E29EF" w:rsidRPr="00FA796D">
        <w:rPr>
          <w:rFonts w:ascii="Calibri" w:eastAsia="Calibri" w:hAnsi="Calibri" w:cs="Times New Roman"/>
          <w:u w:val="single"/>
        </w:rPr>
        <w:t xml:space="preserve"> as well as heat pumps</w:t>
      </w:r>
      <w:r w:rsidRPr="00FA796D">
        <w:rPr>
          <w:rFonts w:ascii="Calibri" w:eastAsia="Calibri" w:hAnsi="Calibri" w:cs="Times New Roman"/>
          <w:u w:val="single"/>
        </w:rPr>
        <w:t xml:space="preserve"> for residential and commercial structures in the municipality for each target year.</w:t>
      </w:r>
      <w:r w:rsidR="001A3BF2" w:rsidRPr="00FA796D">
        <w:rPr>
          <w:rFonts w:ascii="Calibri" w:eastAsia="Calibri" w:hAnsi="Calibri" w:cs="Times New Roman"/>
          <w:u w:val="single"/>
        </w:rPr>
        <w:t xml:space="preserve"> </w:t>
      </w:r>
      <w:r w:rsidRPr="00FA796D">
        <w:rPr>
          <w:rFonts w:ascii="Calibri" w:eastAsia="Calibri" w:hAnsi="Calibri" w:cs="Times New Roman"/>
          <w:u w:val="single"/>
        </w:rPr>
        <w:t xml:space="preserve"> </w:t>
      </w:r>
    </w:p>
    <w:p w:rsidR="008E29EF" w:rsidRDefault="008E29EF" w:rsidP="00952A95">
      <w:pPr>
        <w:rPr>
          <w:rFonts w:ascii="Calibri" w:eastAsia="Calibri" w:hAnsi="Calibri" w:cs="Times New Roman"/>
        </w:rPr>
      </w:pPr>
    </w:p>
    <w:tbl>
      <w:tblPr>
        <w:tblStyle w:val="TableGrid"/>
        <w:tblW w:w="0" w:type="auto"/>
        <w:tblLook w:val="04A0" w:firstRow="1" w:lastRow="0" w:firstColumn="1" w:lastColumn="0" w:noHBand="0" w:noVBand="1"/>
      </w:tblPr>
      <w:tblGrid>
        <w:gridCol w:w="3552"/>
        <w:gridCol w:w="1520"/>
        <w:gridCol w:w="1923"/>
        <w:gridCol w:w="2581"/>
      </w:tblGrid>
      <w:tr w:rsidR="002A6925" w:rsidRPr="004B7565" w:rsidTr="00CA50D5">
        <w:trPr>
          <w:trHeight w:val="300"/>
        </w:trPr>
        <w:tc>
          <w:tcPr>
            <w:tcW w:w="4680" w:type="dxa"/>
            <w:shd w:val="clear" w:color="auto" w:fill="E2EFD9"/>
            <w:noWrap/>
            <w:hideMark/>
          </w:tcPr>
          <w:p w:rsidR="008E29EF" w:rsidRPr="004B7565" w:rsidRDefault="008E29EF" w:rsidP="00CA50D5">
            <w:pPr>
              <w:tabs>
                <w:tab w:val="left" w:pos="1155"/>
              </w:tabs>
              <w:rPr>
                <w:rFonts w:ascii="Calibri" w:eastAsia="Calibri" w:hAnsi="Calibri" w:cs="Times New Roman"/>
                <w:b/>
                <w:bCs/>
              </w:rPr>
            </w:pPr>
            <w:r>
              <w:rPr>
                <w:rFonts w:ascii="Calibri" w:eastAsia="Calibri" w:hAnsi="Calibri" w:cs="Times New Roman"/>
                <w:b/>
                <w:bCs/>
              </w:rPr>
              <w:t>I</w:t>
            </w:r>
            <w:r w:rsidRPr="004B7565">
              <w:rPr>
                <w:rFonts w:ascii="Calibri" w:eastAsia="Calibri" w:hAnsi="Calibri" w:cs="Times New Roman"/>
                <w:b/>
                <w:bCs/>
              </w:rPr>
              <w:t>. Renewables – Heating Goals</w:t>
            </w:r>
          </w:p>
        </w:tc>
        <w:tc>
          <w:tcPr>
            <w:tcW w:w="1960" w:type="dxa"/>
            <w:shd w:val="clear" w:color="auto" w:fill="E2EFD9"/>
            <w:noWrap/>
            <w:hideMark/>
          </w:tcPr>
          <w:p w:rsidR="008E29EF" w:rsidRPr="004B7565" w:rsidRDefault="008E29EF" w:rsidP="00CA50D5">
            <w:pPr>
              <w:tabs>
                <w:tab w:val="left" w:pos="1155"/>
              </w:tabs>
              <w:rPr>
                <w:rFonts w:ascii="Calibri" w:eastAsia="Calibri" w:hAnsi="Calibri" w:cs="Times New Roman"/>
                <w:b/>
                <w:bCs/>
              </w:rPr>
            </w:pPr>
            <w:r w:rsidRPr="004B7565">
              <w:rPr>
                <w:rFonts w:ascii="Calibri" w:eastAsia="Calibri" w:hAnsi="Calibri" w:cs="Times New Roman"/>
                <w:b/>
                <w:bCs/>
              </w:rPr>
              <w:t>2025</w:t>
            </w:r>
          </w:p>
        </w:tc>
        <w:tc>
          <w:tcPr>
            <w:tcW w:w="2500" w:type="dxa"/>
            <w:shd w:val="clear" w:color="auto" w:fill="E2EFD9"/>
            <w:noWrap/>
            <w:hideMark/>
          </w:tcPr>
          <w:p w:rsidR="008E29EF" w:rsidRPr="004B7565" w:rsidRDefault="008E29EF" w:rsidP="00CA50D5">
            <w:pPr>
              <w:tabs>
                <w:tab w:val="left" w:pos="1155"/>
              </w:tabs>
              <w:rPr>
                <w:rFonts w:ascii="Calibri" w:eastAsia="Calibri" w:hAnsi="Calibri" w:cs="Times New Roman"/>
                <w:b/>
                <w:bCs/>
              </w:rPr>
            </w:pPr>
            <w:r w:rsidRPr="004B7565">
              <w:rPr>
                <w:rFonts w:ascii="Calibri" w:eastAsia="Calibri" w:hAnsi="Calibri" w:cs="Times New Roman"/>
                <w:b/>
                <w:bCs/>
              </w:rPr>
              <w:t>2035</w:t>
            </w:r>
          </w:p>
        </w:tc>
        <w:tc>
          <w:tcPr>
            <w:tcW w:w="3380" w:type="dxa"/>
            <w:shd w:val="clear" w:color="auto" w:fill="E2EFD9"/>
            <w:noWrap/>
            <w:hideMark/>
          </w:tcPr>
          <w:p w:rsidR="008E29EF" w:rsidRPr="004B7565" w:rsidRDefault="008E29EF" w:rsidP="00CA50D5">
            <w:pPr>
              <w:tabs>
                <w:tab w:val="left" w:pos="1155"/>
              </w:tabs>
              <w:rPr>
                <w:rFonts w:ascii="Calibri" w:eastAsia="Calibri" w:hAnsi="Calibri" w:cs="Times New Roman"/>
                <w:b/>
                <w:bCs/>
              </w:rPr>
            </w:pPr>
            <w:r w:rsidRPr="004B7565">
              <w:rPr>
                <w:rFonts w:ascii="Calibri" w:eastAsia="Calibri" w:hAnsi="Calibri" w:cs="Times New Roman"/>
                <w:b/>
                <w:bCs/>
              </w:rPr>
              <w:t>2050</w:t>
            </w:r>
          </w:p>
        </w:tc>
      </w:tr>
      <w:tr w:rsidR="002A6925" w:rsidRPr="004B7565" w:rsidTr="00CA50D5">
        <w:trPr>
          <w:trHeight w:val="300"/>
        </w:trPr>
        <w:tc>
          <w:tcPr>
            <w:tcW w:w="4680" w:type="dxa"/>
            <w:noWrap/>
            <w:hideMark/>
          </w:tcPr>
          <w:p w:rsidR="008E29EF" w:rsidRPr="004B7565" w:rsidRDefault="008E29EF" w:rsidP="00CA50D5">
            <w:pPr>
              <w:tabs>
                <w:tab w:val="left" w:pos="1155"/>
              </w:tabs>
              <w:rPr>
                <w:rFonts w:ascii="Calibri" w:eastAsia="Calibri" w:hAnsi="Calibri" w:cs="Times New Roman"/>
              </w:rPr>
            </w:pPr>
            <w:r w:rsidRPr="004B7565">
              <w:rPr>
                <w:rFonts w:ascii="Calibri" w:eastAsia="Calibri" w:hAnsi="Calibri" w:cs="Times New Roman"/>
              </w:rPr>
              <w:t>Renewable Energy Use - Heating</w:t>
            </w:r>
          </w:p>
        </w:tc>
        <w:tc>
          <w:tcPr>
            <w:tcW w:w="1960" w:type="dxa"/>
            <w:noWrap/>
            <w:hideMark/>
          </w:tcPr>
          <w:p w:rsidR="008E29EF" w:rsidRPr="004B7565" w:rsidRDefault="00083E23" w:rsidP="00CA50D5">
            <w:pPr>
              <w:tabs>
                <w:tab w:val="left" w:pos="1155"/>
              </w:tabs>
              <w:rPr>
                <w:rFonts w:ascii="Calibri" w:eastAsia="Calibri" w:hAnsi="Calibri" w:cs="Times New Roman"/>
              </w:rPr>
            </w:pPr>
            <w:r>
              <w:rPr>
                <w:rFonts w:ascii="Calibri" w:eastAsia="Calibri" w:hAnsi="Calibri" w:cs="Times New Roman"/>
              </w:rPr>
              <w:t>48.6</w:t>
            </w:r>
            <w:r w:rsidR="008E29EF" w:rsidRPr="004B7565">
              <w:rPr>
                <w:rFonts w:ascii="Calibri" w:eastAsia="Calibri" w:hAnsi="Calibri" w:cs="Times New Roman"/>
              </w:rPr>
              <w:t>%</w:t>
            </w:r>
          </w:p>
        </w:tc>
        <w:tc>
          <w:tcPr>
            <w:tcW w:w="2500" w:type="dxa"/>
            <w:noWrap/>
            <w:hideMark/>
          </w:tcPr>
          <w:p w:rsidR="008E29EF" w:rsidRPr="004B7565" w:rsidRDefault="00083E23" w:rsidP="00CA50D5">
            <w:pPr>
              <w:tabs>
                <w:tab w:val="left" w:pos="1155"/>
              </w:tabs>
              <w:rPr>
                <w:rFonts w:ascii="Calibri" w:eastAsia="Calibri" w:hAnsi="Calibri" w:cs="Times New Roman"/>
              </w:rPr>
            </w:pPr>
            <w:r>
              <w:rPr>
                <w:rFonts w:ascii="Calibri" w:eastAsia="Calibri" w:hAnsi="Calibri" w:cs="Times New Roman"/>
              </w:rPr>
              <w:t>61.2%</w:t>
            </w:r>
          </w:p>
        </w:tc>
        <w:tc>
          <w:tcPr>
            <w:tcW w:w="3380" w:type="dxa"/>
            <w:noWrap/>
            <w:hideMark/>
          </w:tcPr>
          <w:p w:rsidR="008E29EF" w:rsidRPr="004B7565" w:rsidRDefault="00083E23" w:rsidP="00CA50D5">
            <w:pPr>
              <w:tabs>
                <w:tab w:val="left" w:pos="1155"/>
              </w:tabs>
              <w:rPr>
                <w:rFonts w:ascii="Calibri" w:eastAsia="Calibri" w:hAnsi="Calibri" w:cs="Times New Roman"/>
              </w:rPr>
            </w:pPr>
            <w:r>
              <w:rPr>
                <w:rFonts w:ascii="Calibri" w:eastAsia="Calibri" w:hAnsi="Calibri" w:cs="Times New Roman"/>
              </w:rPr>
              <w:t>93.2%</w:t>
            </w:r>
          </w:p>
        </w:tc>
      </w:tr>
    </w:tbl>
    <w:p w:rsidR="008E29EF" w:rsidRPr="00952A95" w:rsidRDefault="008E29EF" w:rsidP="00952A95">
      <w:pPr>
        <w:rPr>
          <w:rFonts w:ascii="Calibri" w:eastAsia="Calibri" w:hAnsi="Calibri" w:cs="Times New Roman"/>
        </w:rPr>
      </w:pPr>
    </w:p>
    <w:tbl>
      <w:tblPr>
        <w:tblStyle w:val="TableGrid"/>
        <w:tblW w:w="0" w:type="auto"/>
        <w:tblLook w:val="04A0" w:firstRow="1" w:lastRow="0" w:firstColumn="1" w:lastColumn="0" w:noHBand="0" w:noVBand="1"/>
      </w:tblPr>
      <w:tblGrid>
        <w:gridCol w:w="3220"/>
        <w:gridCol w:w="1350"/>
        <w:gridCol w:w="1710"/>
        <w:gridCol w:w="1705"/>
      </w:tblGrid>
      <w:tr w:rsidR="002A6925" w:rsidRPr="00952A95" w:rsidTr="004B7565">
        <w:trPr>
          <w:trHeight w:val="300"/>
        </w:trPr>
        <w:tc>
          <w:tcPr>
            <w:tcW w:w="3220" w:type="dxa"/>
            <w:shd w:val="clear" w:color="auto" w:fill="E2EFD9"/>
            <w:noWrap/>
            <w:hideMark/>
          </w:tcPr>
          <w:p w:rsidR="00522542" w:rsidRDefault="00522542" w:rsidP="00952A95">
            <w:pPr>
              <w:rPr>
                <w:rFonts w:ascii="Calibri" w:eastAsia="Calibri" w:hAnsi="Calibri" w:cs="Times New Roman"/>
                <w:b/>
                <w:bCs/>
              </w:rPr>
            </w:pPr>
            <w:r>
              <w:rPr>
                <w:rFonts w:ascii="Calibri" w:eastAsia="Calibri" w:hAnsi="Calibri" w:cs="Times New Roman"/>
                <w:b/>
                <w:bCs/>
              </w:rPr>
              <w:t>J</w:t>
            </w:r>
            <w:r w:rsidRPr="00952A95">
              <w:rPr>
                <w:rFonts w:ascii="Calibri" w:eastAsia="Calibri" w:hAnsi="Calibri" w:cs="Times New Roman"/>
                <w:b/>
                <w:bCs/>
              </w:rPr>
              <w:t>. Heating Fuel Switching Targets</w:t>
            </w:r>
          </w:p>
          <w:p w:rsidR="00811D64" w:rsidRPr="00952A95" w:rsidRDefault="00811D64" w:rsidP="00952A95">
            <w:pPr>
              <w:rPr>
                <w:rFonts w:ascii="Calibri" w:eastAsia="Calibri" w:hAnsi="Calibri" w:cs="Times New Roman"/>
                <w:b/>
                <w:bCs/>
              </w:rPr>
            </w:pPr>
            <w:r>
              <w:rPr>
                <w:rFonts w:ascii="Calibri" w:eastAsia="Calibri" w:hAnsi="Calibri" w:cs="Times New Roman"/>
                <w:b/>
                <w:bCs/>
              </w:rPr>
              <w:t>Residential and Commercial</w:t>
            </w:r>
          </w:p>
        </w:tc>
        <w:tc>
          <w:tcPr>
            <w:tcW w:w="1350" w:type="dxa"/>
            <w:shd w:val="clear" w:color="auto" w:fill="E2EFD9"/>
            <w:noWrap/>
            <w:hideMark/>
          </w:tcPr>
          <w:p w:rsidR="00522542" w:rsidRPr="00952A95" w:rsidRDefault="00522542" w:rsidP="00952A95">
            <w:pPr>
              <w:rPr>
                <w:rFonts w:ascii="Calibri" w:eastAsia="Calibri" w:hAnsi="Calibri" w:cs="Times New Roman"/>
                <w:b/>
                <w:bCs/>
              </w:rPr>
            </w:pPr>
            <w:r w:rsidRPr="00952A95">
              <w:rPr>
                <w:rFonts w:ascii="Calibri" w:eastAsia="Calibri" w:hAnsi="Calibri" w:cs="Times New Roman"/>
                <w:b/>
                <w:bCs/>
              </w:rPr>
              <w:t>2025</w:t>
            </w:r>
          </w:p>
        </w:tc>
        <w:tc>
          <w:tcPr>
            <w:tcW w:w="1710" w:type="dxa"/>
            <w:shd w:val="clear" w:color="auto" w:fill="E2EFD9"/>
            <w:noWrap/>
            <w:hideMark/>
          </w:tcPr>
          <w:p w:rsidR="00522542" w:rsidRPr="00952A95" w:rsidRDefault="00522542" w:rsidP="00952A95">
            <w:pPr>
              <w:rPr>
                <w:rFonts w:ascii="Calibri" w:eastAsia="Calibri" w:hAnsi="Calibri" w:cs="Times New Roman"/>
                <w:b/>
                <w:bCs/>
              </w:rPr>
            </w:pPr>
            <w:r w:rsidRPr="00952A95">
              <w:rPr>
                <w:rFonts w:ascii="Calibri" w:eastAsia="Calibri" w:hAnsi="Calibri" w:cs="Times New Roman"/>
                <w:b/>
                <w:bCs/>
              </w:rPr>
              <w:t>2035</w:t>
            </w:r>
          </w:p>
        </w:tc>
        <w:tc>
          <w:tcPr>
            <w:tcW w:w="1705" w:type="dxa"/>
            <w:shd w:val="clear" w:color="auto" w:fill="E2EFD9" w:themeFill="accent6" w:themeFillTint="33"/>
            <w:noWrap/>
            <w:hideMark/>
          </w:tcPr>
          <w:p w:rsidR="00522542" w:rsidRPr="00952A95" w:rsidRDefault="00522542" w:rsidP="00952A95">
            <w:pPr>
              <w:rPr>
                <w:rFonts w:ascii="Calibri" w:eastAsia="Calibri" w:hAnsi="Calibri" w:cs="Times New Roman"/>
                <w:b/>
                <w:bCs/>
              </w:rPr>
            </w:pPr>
            <w:r w:rsidRPr="00952A95">
              <w:rPr>
                <w:rFonts w:ascii="Calibri" w:eastAsia="Calibri" w:hAnsi="Calibri" w:cs="Times New Roman"/>
                <w:b/>
                <w:bCs/>
              </w:rPr>
              <w:t>2050</w:t>
            </w:r>
          </w:p>
        </w:tc>
      </w:tr>
      <w:tr w:rsidR="002A6925" w:rsidRPr="00952A95" w:rsidTr="004B7565">
        <w:trPr>
          <w:trHeight w:val="300"/>
        </w:trPr>
        <w:tc>
          <w:tcPr>
            <w:tcW w:w="3220" w:type="dxa"/>
            <w:noWrap/>
            <w:hideMark/>
          </w:tcPr>
          <w:p w:rsidR="00522542" w:rsidRPr="00952A95" w:rsidRDefault="00522542" w:rsidP="00952A95">
            <w:pPr>
              <w:rPr>
                <w:rFonts w:ascii="Calibri" w:eastAsia="Calibri" w:hAnsi="Calibri" w:cs="Times New Roman"/>
              </w:rPr>
            </w:pPr>
            <w:r w:rsidRPr="00952A95">
              <w:rPr>
                <w:rFonts w:ascii="Calibri" w:eastAsia="Calibri" w:hAnsi="Calibri" w:cs="Times New Roman"/>
              </w:rPr>
              <w:t>Efficient Wood Heat Systems (in units)</w:t>
            </w:r>
          </w:p>
        </w:tc>
        <w:tc>
          <w:tcPr>
            <w:tcW w:w="1350" w:type="dxa"/>
            <w:noWrap/>
            <w:hideMark/>
          </w:tcPr>
          <w:p w:rsidR="00522542" w:rsidRPr="006E3898" w:rsidRDefault="00522542" w:rsidP="00952A95">
            <w:pPr>
              <w:rPr>
                <w:rFonts w:ascii="Calibri" w:eastAsia="Calibri" w:hAnsi="Calibri" w:cs="Times New Roman"/>
                <w:highlight w:val="yellow"/>
              </w:rPr>
            </w:pPr>
            <w:r>
              <w:rPr>
                <w:rFonts w:ascii="Calibri" w:eastAsia="Calibri" w:hAnsi="Calibri" w:cs="Times New Roman"/>
                <w:highlight w:val="yellow"/>
              </w:rPr>
              <w:t>0</w:t>
            </w:r>
          </w:p>
        </w:tc>
        <w:tc>
          <w:tcPr>
            <w:tcW w:w="1710" w:type="dxa"/>
            <w:noWrap/>
            <w:hideMark/>
          </w:tcPr>
          <w:p w:rsidR="00522542" w:rsidRPr="006E3898" w:rsidRDefault="00522542" w:rsidP="00952A95">
            <w:pPr>
              <w:rPr>
                <w:rFonts w:ascii="Calibri" w:eastAsia="Calibri" w:hAnsi="Calibri" w:cs="Times New Roman"/>
                <w:highlight w:val="yellow"/>
              </w:rPr>
            </w:pPr>
            <w:r>
              <w:rPr>
                <w:rFonts w:ascii="Calibri" w:eastAsia="Calibri" w:hAnsi="Calibri" w:cs="Times New Roman"/>
                <w:highlight w:val="yellow"/>
              </w:rPr>
              <w:t>0</w:t>
            </w:r>
          </w:p>
        </w:tc>
        <w:tc>
          <w:tcPr>
            <w:tcW w:w="1705" w:type="dxa"/>
            <w:noWrap/>
            <w:hideMark/>
          </w:tcPr>
          <w:p w:rsidR="00522542" w:rsidRPr="006E3898" w:rsidRDefault="00522542" w:rsidP="00952A95">
            <w:pPr>
              <w:rPr>
                <w:rFonts w:ascii="Calibri" w:eastAsia="Calibri" w:hAnsi="Calibri" w:cs="Times New Roman"/>
                <w:highlight w:val="yellow"/>
              </w:rPr>
            </w:pPr>
            <w:r>
              <w:rPr>
                <w:rFonts w:ascii="Calibri" w:eastAsia="Calibri" w:hAnsi="Calibri" w:cs="Times New Roman"/>
                <w:highlight w:val="yellow"/>
              </w:rPr>
              <w:t>0</w:t>
            </w:r>
          </w:p>
        </w:tc>
      </w:tr>
      <w:tr w:rsidR="002A6925" w:rsidRPr="00952A95" w:rsidTr="004B7565">
        <w:trPr>
          <w:trHeight w:val="300"/>
        </w:trPr>
        <w:tc>
          <w:tcPr>
            <w:tcW w:w="3220" w:type="dxa"/>
            <w:noWrap/>
            <w:hideMark/>
          </w:tcPr>
          <w:p w:rsidR="00522542" w:rsidRPr="00952A95" w:rsidRDefault="00522542" w:rsidP="00952A95">
            <w:pPr>
              <w:rPr>
                <w:rFonts w:ascii="Calibri" w:eastAsia="Calibri" w:hAnsi="Calibri" w:cs="Times New Roman"/>
              </w:rPr>
            </w:pPr>
            <w:r w:rsidRPr="00952A95">
              <w:rPr>
                <w:rFonts w:ascii="Calibri" w:eastAsia="Calibri" w:hAnsi="Calibri" w:cs="Times New Roman"/>
              </w:rPr>
              <w:t>New Heat Pumps (in units)</w:t>
            </w:r>
          </w:p>
        </w:tc>
        <w:tc>
          <w:tcPr>
            <w:tcW w:w="1350" w:type="dxa"/>
            <w:noWrap/>
            <w:hideMark/>
          </w:tcPr>
          <w:p w:rsidR="00522542" w:rsidRPr="00952A95" w:rsidRDefault="00522542" w:rsidP="00952A95">
            <w:pPr>
              <w:rPr>
                <w:rFonts w:ascii="Calibri" w:eastAsia="Calibri" w:hAnsi="Calibri" w:cs="Times New Roman"/>
              </w:rPr>
            </w:pPr>
            <w:r>
              <w:rPr>
                <w:rFonts w:ascii="Calibri" w:eastAsia="Calibri" w:hAnsi="Calibri" w:cs="Times New Roman"/>
              </w:rPr>
              <w:t>120</w:t>
            </w:r>
          </w:p>
        </w:tc>
        <w:tc>
          <w:tcPr>
            <w:tcW w:w="1710" w:type="dxa"/>
            <w:noWrap/>
            <w:hideMark/>
          </w:tcPr>
          <w:p w:rsidR="00522542" w:rsidRPr="00952A95" w:rsidRDefault="00522542" w:rsidP="00952A95">
            <w:pPr>
              <w:rPr>
                <w:rFonts w:ascii="Calibri" w:eastAsia="Calibri" w:hAnsi="Calibri" w:cs="Times New Roman"/>
              </w:rPr>
            </w:pPr>
            <w:r>
              <w:rPr>
                <w:rFonts w:ascii="Calibri" w:eastAsia="Calibri" w:hAnsi="Calibri" w:cs="Times New Roman"/>
              </w:rPr>
              <w:t>315</w:t>
            </w:r>
          </w:p>
        </w:tc>
        <w:tc>
          <w:tcPr>
            <w:tcW w:w="1705" w:type="dxa"/>
            <w:noWrap/>
            <w:hideMark/>
          </w:tcPr>
          <w:p w:rsidR="00522542" w:rsidRPr="00952A95" w:rsidRDefault="00522542" w:rsidP="00952A95">
            <w:pPr>
              <w:rPr>
                <w:rFonts w:ascii="Calibri" w:eastAsia="Calibri" w:hAnsi="Calibri" w:cs="Times New Roman"/>
              </w:rPr>
            </w:pPr>
            <w:r>
              <w:rPr>
                <w:rFonts w:ascii="Calibri" w:eastAsia="Calibri" w:hAnsi="Calibri" w:cs="Times New Roman"/>
              </w:rPr>
              <w:t>666</w:t>
            </w:r>
          </w:p>
        </w:tc>
      </w:tr>
    </w:tbl>
    <w:p w:rsidR="00952A95" w:rsidRDefault="00952A95">
      <w:pPr>
        <w:rPr>
          <w:sz w:val="28"/>
          <w:szCs w:val="28"/>
        </w:rPr>
      </w:pPr>
    </w:p>
    <w:p w:rsidR="00D64AD0" w:rsidRPr="00FA796D" w:rsidRDefault="00D64AD0" w:rsidP="00D64AD0">
      <w:pPr>
        <w:rPr>
          <w:u w:val="single"/>
        </w:rPr>
      </w:pPr>
      <w:r w:rsidRPr="00FA796D">
        <w:rPr>
          <w:u w:val="single"/>
        </w:rPr>
        <w:t>Many Bradford homes use biomass for primary or supplemental heating. According to the 2016 Vermont Comprehensive Energy Plan, those using wood for primary heating consumed about 4.8 cords in 2014-15, while those using wood as a supplementary source used 2.1 cords. In that same year, Vermont households burned about 126,000 tons of wood pellets, with primary-heat-source consumers burning 4.4 tons and supplementary-heat-source consumers burning 3.3 tons for the season. A slight reduction in the number of cords of wood burned from 2007-08 data could be a reflection of Vermonters installing more efficient wood heating systems.  A recent increase in the use of wood pellets illustrates a growing demand for wood resources as heating fuel.</w:t>
      </w:r>
    </w:p>
    <w:p w:rsidR="00D64AD0" w:rsidRPr="00FA796D" w:rsidRDefault="00D64AD0" w:rsidP="00D64AD0">
      <w:pPr>
        <w:rPr>
          <w:u w:val="single"/>
        </w:rPr>
      </w:pPr>
      <w:r w:rsidRPr="00FA796D">
        <w:rPr>
          <w:u w:val="single"/>
        </w:rPr>
        <w:t xml:space="preserve">Homeowners can receive financial assistance for weatherization and efficient home heating solutions through the Heat Saver Loan program, </w:t>
      </w:r>
      <w:proofErr w:type="spellStart"/>
      <w:r w:rsidRPr="00FA796D">
        <w:rPr>
          <w:u w:val="single"/>
        </w:rPr>
        <w:t>NeighborWorks</w:t>
      </w:r>
      <w:proofErr w:type="spellEnd"/>
      <w:r w:rsidRPr="00FA796D">
        <w:rPr>
          <w:u w:val="single"/>
        </w:rPr>
        <w:t xml:space="preserve"> of Vermont energy loans, and Vermont State Employees Credit Union Energy Savings Loans.  Many times, weatherization improvements financed through low interest loans will provide immediate positive cash flow.</w:t>
      </w:r>
    </w:p>
    <w:p w:rsidR="00E554D7" w:rsidRDefault="00E554D7">
      <w:pPr>
        <w:rPr>
          <w:b/>
          <w:color w:val="538135" w:themeColor="accent6" w:themeShade="BF"/>
          <w:sz w:val="28"/>
          <w:szCs w:val="28"/>
        </w:rPr>
      </w:pPr>
      <w:r>
        <w:rPr>
          <w:b/>
          <w:color w:val="538135" w:themeColor="accent6" w:themeShade="BF"/>
          <w:sz w:val="28"/>
          <w:szCs w:val="28"/>
        </w:rPr>
        <w:t>Electricity</w:t>
      </w:r>
    </w:p>
    <w:p w:rsidR="00A1432F" w:rsidRDefault="00A1432F" w:rsidP="00A1432F">
      <w:pPr>
        <w:pStyle w:val="NormalWeb"/>
        <w:jc w:val="center"/>
      </w:pPr>
      <w:r w:rsidRPr="005D0336">
        <w:rPr>
          <w:noProof/>
        </w:rPr>
        <w:lastRenderedPageBreak/>
        <w:drawing>
          <wp:inline distT="0" distB="0" distL="0" distR="0">
            <wp:extent cx="5943600" cy="4314825"/>
            <wp:effectExtent l="0" t="0" r="0" b="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t xml:space="preserve">Note Bradford has </w:t>
      </w:r>
      <w:proofErr w:type="gramStart"/>
      <w:r>
        <w:t>an average annual residential uses of electricity</w:t>
      </w:r>
      <w:proofErr w:type="gramEnd"/>
      <w:r>
        <w:t xml:space="preserve">, </w:t>
      </w:r>
      <w:r w:rsidR="00FD157A">
        <w:t>just over 6</w:t>
      </w:r>
      <w:r>
        <w:t xml:space="preserve">,000 kWh.  </w:t>
      </w:r>
      <w:r w:rsidRPr="00FC472A">
        <w:rPr>
          <w:highlight w:val="yellow"/>
        </w:rPr>
        <w:t>Source: Green Mountain Power</w:t>
      </w:r>
    </w:p>
    <w:p w:rsidR="00A1432F" w:rsidRPr="00FD157A" w:rsidRDefault="00A1432F">
      <w:pPr>
        <w:rPr>
          <w:b/>
          <w:color w:val="538135" w:themeColor="accent6" w:themeShade="BF"/>
        </w:rPr>
      </w:pPr>
    </w:p>
    <w:p w:rsidR="00C27FD5" w:rsidRDefault="00C27FD5" w:rsidP="00D23219">
      <w:pPr>
        <w:spacing w:after="0"/>
      </w:pPr>
      <w:r>
        <w:t xml:space="preserve">Two electric power companies serve Bradford.  Green Mountain Power (GMP), the region’s largest provider of electric power, serves the majority of the Town.  GMP owns and operates the Waits River Hydroelectric Station and maintains contracts with Hydro Quebec.  </w:t>
      </w:r>
      <w:r w:rsidR="00E511F8">
        <w:t>The Washington Electric Cooperative (WEC) serves the rural western part of the Town.  WEC has invested in a landfill methane plant in Coventry, Vermont, which provides nearly 60% of its power needs.  WEC has been at the forefront of demand side energy management, reducing its members’ average energy usage to well below the state average, and is currently qualified as 100% renewable.</w:t>
      </w:r>
    </w:p>
    <w:p w:rsidR="00D447F6" w:rsidRDefault="00D447F6" w:rsidP="00D23219">
      <w:pPr>
        <w:spacing w:after="0"/>
      </w:pPr>
    </w:p>
    <w:p w:rsidR="00D447F6" w:rsidRDefault="00D447F6" w:rsidP="00D23219">
      <w:pPr>
        <w:spacing w:after="0"/>
      </w:pPr>
      <w:r>
        <w:t xml:space="preserve">The electric residential energy demand in Bradford has declined slightly over the last three years, while the commercial and industrial demand has increased. Currently, only </w:t>
      </w:r>
      <w:r w:rsidRPr="00BE2D2E">
        <w:rPr>
          <w:highlight w:val="yellow"/>
        </w:rPr>
        <w:t>4%</w:t>
      </w:r>
      <w:r>
        <w:t xml:space="preserve"> of the electricity need is being met by renewable energy generation. As more renewable energy generation is produced in Sharon to meet the 2050 targets, Green Mountain Power will need to increase the pace of system-wide updates. These include line upgrades and storage technologies such as Tesla’s Powerwall battery system. Electric savings are possible through energy efficiency improvements. According to Efficiency Vermont, </w:t>
      </w:r>
      <w:r w:rsidR="00E60A6D">
        <w:t>Bradford</w:t>
      </w:r>
      <w:r>
        <w:t xml:space="preserve"> electric customers saved </w:t>
      </w:r>
      <w:r w:rsidRPr="00E60A6D">
        <w:rPr>
          <w:highlight w:val="yellow"/>
        </w:rPr>
        <w:t xml:space="preserve">123,725 </w:t>
      </w:r>
      <w:r w:rsidR="00CC5BC4">
        <w:rPr>
          <w:highlight w:val="yellow"/>
        </w:rPr>
        <w:t>k</w:t>
      </w:r>
      <w:r w:rsidRPr="00E60A6D">
        <w:rPr>
          <w:highlight w:val="yellow"/>
        </w:rPr>
        <w:t>Wh</w:t>
      </w:r>
      <w:r>
        <w:t xml:space="preserve"> (kilowatt hours) in 2016 through measures such as hot water efficiencies, light bulb swaps, and appliance and space heating replacements.  Gains in efficiency can be </w:t>
      </w:r>
      <w:r>
        <w:lastRenderedPageBreak/>
        <w:t>made through improved appliance standards, building energy codes, consumer purchasing decisions, and publicly funded programs.</w:t>
      </w:r>
    </w:p>
    <w:p w:rsidR="00C27FD5" w:rsidRDefault="00C27FD5" w:rsidP="00D23219">
      <w:pPr>
        <w:spacing w:after="0"/>
      </w:pPr>
    </w:p>
    <w:p w:rsidR="00D23219" w:rsidRPr="001F74D6" w:rsidRDefault="00E3177E" w:rsidP="00D23219">
      <w:pPr>
        <w:spacing w:after="0"/>
        <w:rPr>
          <w:rFonts w:ascii="Times New Roman" w:hAnsi="Times New Roman" w:cs="Times New Roman"/>
          <w:sz w:val="24"/>
          <w:szCs w:val="24"/>
        </w:rPr>
      </w:pPr>
      <w:r>
        <w:t>Table K</w:t>
      </w:r>
      <w:r w:rsidR="001A3BF2">
        <w:t xml:space="preserve"> displays current electricity use within the municipality with data from the utility companies, showing that residential use has decre</w:t>
      </w:r>
      <w:r w:rsidR="00D511A8">
        <w:t xml:space="preserve">ased over the past three years. Despite this decrease, on a per residential unit basis the average </w:t>
      </w:r>
      <w:r w:rsidR="007B5A59">
        <w:t xml:space="preserve">Bradford </w:t>
      </w:r>
      <w:r w:rsidR="00D511A8">
        <w:t xml:space="preserve">resident is using more electricity </w:t>
      </w:r>
      <w:r w:rsidR="009A3FCF">
        <w:t>than others throughout the region</w:t>
      </w:r>
      <w:r w:rsidR="00CA50D5">
        <w:t xml:space="preserve"> </w:t>
      </w:r>
      <w:r w:rsidR="00D23219">
        <w:t>(</w:t>
      </w:r>
      <w:r w:rsidR="00B53EA6">
        <w:t>Graph</w:t>
      </w:r>
      <w:r w:rsidR="00D23219">
        <w:t xml:space="preserve"> 1)</w:t>
      </w:r>
      <w:r w:rsidR="009A3FCF">
        <w:t xml:space="preserve">. This could be in part due to inefficient electric </w:t>
      </w:r>
      <w:r w:rsidR="00B93D76">
        <w:t>uses in the household. On the other end it</w:t>
      </w:r>
      <w:r w:rsidR="009A3FCF">
        <w:t xml:space="preserve"> could be a reflection that residents in </w:t>
      </w:r>
      <w:r w:rsidR="007B5A59">
        <w:t xml:space="preserve">Bradford </w:t>
      </w:r>
      <w:r w:rsidR="009A3FCF">
        <w:t xml:space="preserve">are early adopters of </w:t>
      </w:r>
      <w:r w:rsidR="00B93D76">
        <w:t xml:space="preserve">fuel switching methods such as increased </w:t>
      </w:r>
      <w:r>
        <w:t xml:space="preserve">use of </w:t>
      </w:r>
      <w:r w:rsidR="00B93D76">
        <w:t>heat pumps or electric vehicles</w:t>
      </w:r>
      <w:r w:rsidR="00B53EA6">
        <w:t xml:space="preserve">. </w:t>
      </w:r>
    </w:p>
    <w:p w:rsidR="001A3BF2" w:rsidRPr="001A3BF2" w:rsidRDefault="001A3BF2">
      <w:pPr>
        <w:rPr>
          <w:b/>
          <w:sz w:val="24"/>
          <w:szCs w:val="24"/>
        </w:rPr>
      </w:pPr>
    </w:p>
    <w:tbl>
      <w:tblPr>
        <w:tblStyle w:val="TableGrid"/>
        <w:tblW w:w="0" w:type="auto"/>
        <w:tblLook w:val="04A0" w:firstRow="1" w:lastRow="0" w:firstColumn="1" w:lastColumn="0" w:noHBand="0" w:noVBand="1"/>
      </w:tblPr>
      <w:tblGrid>
        <w:gridCol w:w="4315"/>
        <w:gridCol w:w="1710"/>
        <w:gridCol w:w="1620"/>
        <w:gridCol w:w="1705"/>
      </w:tblGrid>
      <w:tr w:rsidR="00DA433E" w:rsidRPr="00DA433E" w:rsidTr="00DA433E">
        <w:trPr>
          <w:trHeight w:val="300"/>
        </w:trPr>
        <w:tc>
          <w:tcPr>
            <w:tcW w:w="9350" w:type="dxa"/>
            <w:gridSpan w:val="4"/>
            <w:shd w:val="clear" w:color="auto" w:fill="E2EFD9"/>
            <w:noWrap/>
            <w:hideMark/>
          </w:tcPr>
          <w:p w:rsidR="00DA433E" w:rsidRPr="00E3177E" w:rsidRDefault="00E3177E" w:rsidP="00DA433E">
            <w:pPr>
              <w:rPr>
                <w:rFonts w:ascii="Calibri" w:eastAsia="Calibri" w:hAnsi="Calibri" w:cs="Times New Roman"/>
                <w:b/>
                <w:bCs/>
                <w:sz w:val="24"/>
                <w:szCs w:val="24"/>
              </w:rPr>
            </w:pPr>
            <w:r w:rsidRPr="00E3177E">
              <w:rPr>
                <w:rFonts w:ascii="Calibri" w:eastAsia="Calibri" w:hAnsi="Calibri" w:cs="Times New Roman"/>
                <w:b/>
                <w:bCs/>
                <w:sz w:val="24"/>
                <w:szCs w:val="24"/>
              </w:rPr>
              <w:t>K</w:t>
            </w:r>
            <w:r w:rsidR="00DA433E" w:rsidRPr="00E3177E">
              <w:rPr>
                <w:rFonts w:ascii="Calibri" w:eastAsia="Calibri" w:hAnsi="Calibri" w:cs="Times New Roman"/>
                <w:b/>
                <w:bCs/>
                <w:sz w:val="24"/>
                <w:szCs w:val="24"/>
              </w:rPr>
              <w:t>. Electricity Use</w:t>
            </w:r>
          </w:p>
        </w:tc>
      </w:tr>
      <w:tr w:rsidR="00DA433E" w:rsidRPr="00DA433E" w:rsidTr="00DA433E">
        <w:trPr>
          <w:trHeight w:val="300"/>
        </w:trPr>
        <w:tc>
          <w:tcPr>
            <w:tcW w:w="4315" w:type="dxa"/>
            <w:shd w:val="clear" w:color="auto" w:fill="E2EFD9" w:themeFill="accent6" w:themeFillTint="33"/>
            <w:hideMark/>
          </w:tcPr>
          <w:p w:rsidR="00DA433E" w:rsidRPr="00E3177E" w:rsidRDefault="00DA433E" w:rsidP="00DA433E">
            <w:pPr>
              <w:rPr>
                <w:rFonts w:ascii="Calibri" w:eastAsia="Calibri" w:hAnsi="Calibri" w:cs="Times New Roman"/>
                <w:b/>
                <w:sz w:val="24"/>
                <w:szCs w:val="24"/>
              </w:rPr>
            </w:pPr>
            <w:r w:rsidRPr="00E3177E">
              <w:rPr>
                <w:rFonts w:ascii="Calibri" w:eastAsia="Calibri" w:hAnsi="Calibri" w:cs="Times New Roman"/>
                <w:b/>
                <w:sz w:val="24"/>
                <w:szCs w:val="24"/>
              </w:rPr>
              <w:t>Sector</w:t>
            </w:r>
          </w:p>
        </w:tc>
        <w:tc>
          <w:tcPr>
            <w:tcW w:w="17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bottom"/>
          </w:tcPr>
          <w:p w:rsidR="00DA433E" w:rsidRPr="00E3177E" w:rsidRDefault="00DA433E" w:rsidP="00DA433E">
            <w:pPr>
              <w:jc w:val="center"/>
              <w:rPr>
                <w:rFonts w:ascii="Arial" w:hAnsi="Arial" w:cs="Arial"/>
                <w:b/>
                <w:bCs/>
                <w:color w:val="000000"/>
                <w:sz w:val="24"/>
                <w:szCs w:val="24"/>
              </w:rPr>
            </w:pPr>
            <w:r w:rsidRPr="00E3177E">
              <w:rPr>
                <w:rFonts w:ascii="Arial" w:hAnsi="Arial" w:cs="Arial"/>
                <w:b/>
                <w:bCs/>
                <w:color w:val="000000"/>
                <w:sz w:val="24"/>
                <w:szCs w:val="24"/>
              </w:rPr>
              <w:t>2014</w:t>
            </w:r>
          </w:p>
        </w:tc>
        <w:tc>
          <w:tcPr>
            <w:tcW w:w="1620" w:type="dxa"/>
            <w:tcBorders>
              <w:top w:val="single" w:sz="4" w:space="0" w:color="000000"/>
              <w:left w:val="nil"/>
              <w:bottom w:val="single" w:sz="4" w:space="0" w:color="000000"/>
              <w:right w:val="single" w:sz="4" w:space="0" w:color="000000"/>
            </w:tcBorders>
            <w:shd w:val="clear" w:color="auto" w:fill="E2EFD9" w:themeFill="accent6" w:themeFillTint="33"/>
            <w:vAlign w:val="bottom"/>
          </w:tcPr>
          <w:p w:rsidR="00DA433E" w:rsidRPr="00E3177E" w:rsidRDefault="00DA433E" w:rsidP="00DA433E">
            <w:pPr>
              <w:jc w:val="center"/>
              <w:rPr>
                <w:rFonts w:ascii="Arial" w:hAnsi="Arial" w:cs="Arial"/>
                <w:b/>
                <w:bCs/>
                <w:color w:val="000000"/>
                <w:sz w:val="24"/>
                <w:szCs w:val="24"/>
              </w:rPr>
            </w:pPr>
            <w:r w:rsidRPr="00E3177E">
              <w:rPr>
                <w:rFonts w:ascii="Arial" w:hAnsi="Arial" w:cs="Arial"/>
                <w:b/>
                <w:bCs/>
                <w:color w:val="000000"/>
                <w:sz w:val="24"/>
                <w:szCs w:val="24"/>
              </w:rPr>
              <w:t>2015</w:t>
            </w:r>
          </w:p>
        </w:tc>
        <w:tc>
          <w:tcPr>
            <w:tcW w:w="1705" w:type="dxa"/>
            <w:tcBorders>
              <w:top w:val="single" w:sz="4" w:space="0" w:color="000000"/>
              <w:left w:val="nil"/>
              <w:bottom w:val="single" w:sz="4" w:space="0" w:color="000000"/>
              <w:right w:val="single" w:sz="4" w:space="0" w:color="000000"/>
            </w:tcBorders>
            <w:shd w:val="clear" w:color="auto" w:fill="E2EFD9" w:themeFill="accent6" w:themeFillTint="33"/>
            <w:vAlign w:val="bottom"/>
          </w:tcPr>
          <w:p w:rsidR="00DA433E" w:rsidRPr="00E3177E" w:rsidRDefault="00DA433E" w:rsidP="00DA433E">
            <w:pPr>
              <w:jc w:val="center"/>
              <w:rPr>
                <w:rFonts w:ascii="Arial" w:hAnsi="Arial" w:cs="Arial"/>
                <w:b/>
                <w:bCs/>
                <w:color w:val="000000"/>
                <w:sz w:val="24"/>
                <w:szCs w:val="24"/>
              </w:rPr>
            </w:pPr>
            <w:r w:rsidRPr="00E3177E">
              <w:rPr>
                <w:rFonts w:ascii="Arial" w:hAnsi="Arial" w:cs="Arial"/>
                <w:b/>
                <w:bCs/>
                <w:color w:val="000000"/>
                <w:sz w:val="24"/>
                <w:szCs w:val="24"/>
              </w:rPr>
              <w:t>2016</w:t>
            </w:r>
          </w:p>
        </w:tc>
      </w:tr>
      <w:tr w:rsidR="00DA433E" w:rsidRPr="00DA433E" w:rsidTr="00CA50D5">
        <w:trPr>
          <w:trHeight w:val="300"/>
        </w:trPr>
        <w:tc>
          <w:tcPr>
            <w:tcW w:w="4315" w:type="dxa"/>
            <w:hideMark/>
          </w:tcPr>
          <w:p w:rsidR="00DA433E" w:rsidRPr="00DA433E" w:rsidRDefault="00DA433E" w:rsidP="00DA433E">
            <w:pPr>
              <w:rPr>
                <w:rFonts w:ascii="Calibri" w:eastAsia="Calibri" w:hAnsi="Calibri" w:cs="Times New Roman"/>
              </w:rPr>
            </w:pPr>
            <w:r w:rsidRPr="00DA433E">
              <w:rPr>
                <w:rFonts w:ascii="Calibri" w:eastAsia="Calibri" w:hAnsi="Calibri" w:cs="Times New Roman"/>
              </w:rPr>
              <w:t>Commercial &amp; Industrial (kWh)</w:t>
            </w:r>
          </w:p>
        </w:tc>
        <w:tc>
          <w:tcPr>
            <w:tcW w:w="1710" w:type="dxa"/>
            <w:tcBorders>
              <w:top w:val="nil"/>
              <w:left w:val="single" w:sz="4" w:space="0" w:color="000000"/>
              <w:bottom w:val="single" w:sz="4" w:space="0" w:color="000000"/>
              <w:right w:val="single" w:sz="4" w:space="0" w:color="000000"/>
            </w:tcBorders>
            <w:shd w:val="clear" w:color="auto" w:fill="auto"/>
            <w:vAlign w:val="bottom"/>
          </w:tcPr>
          <w:p w:rsidR="00DA433E" w:rsidRDefault="00937E6D" w:rsidP="00DA433E">
            <w:pPr>
              <w:jc w:val="right"/>
              <w:rPr>
                <w:rFonts w:ascii="Arial" w:hAnsi="Arial" w:cs="Arial"/>
                <w:color w:val="000000"/>
                <w:sz w:val="20"/>
                <w:szCs w:val="20"/>
              </w:rPr>
            </w:pPr>
            <w:r>
              <w:rPr>
                <w:rFonts w:ascii="Arial" w:hAnsi="Arial" w:cs="Arial"/>
                <w:color w:val="000000"/>
                <w:sz w:val="20"/>
                <w:szCs w:val="20"/>
              </w:rPr>
              <w:t>9,535,580</w:t>
            </w:r>
          </w:p>
        </w:tc>
        <w:tc>
          <w:tcPr>
            <w:tcW w:w="1620" w:type="dxa"/>
            <w:tcBorders>
              <w:top w:val="nil"/>
              <w:left w:val="nil"/>
              <w:bottom w:val="single" w:sz="4" w:space="0" w:color="000000"/>
              <w:right w:val="single" w:sz="4" w:space="0" w:color="000000"/>
            </w:tcBorders>
            <w:shd w:val="clear" w:color="auto" w:fill="auto"/>
            <w:vAlign w:val="bottom"/>
          </w:tcPr>
          <w:p w:rsidR="00DA433E" w:rsidRDefault="00280FA7" w:rsidP="00280FA7">
            <w:pPr>
              <w:jc w:val="right"/>
              <w:rPr>
                <w:rFonts w:ascii="Arial" w:hAnsi="Arial" w:cs="Arial"/>
                <w:color w:val="000000"/>
                <w:sz w:val="20"/>
                <w:szCs w:val="20"/>
              </w:rPr>
            </w:pPr>
            <w:r>
              <w:rPr>
                <w:rFonts w:ascii="Arial" w:hAnsi="Arial" w:cs="Arial"/>
                <w:color w:val="000000"/>
                <w:sz w:val="20"/>
                <w:szCs w:val="20"/>
              </w:rPr>
              <w:t>10,150,436</w:t>
            </w:r>
          </w:p>
        </w:tc>
        <w:tc>
          <w:tcPr>
            <w:tcW w:w="1705" w:type="dxa"/>
            <w:tcBorders>
              <w:top w:val="nil"/>
              <w:left w:val="nil"/>
              <w:bottom w:val="single" w:sz="4" w:space="0" w:color="000000"/>
              <w:right w:val="single" w:sz="4" w:space="0" w:color="000000"/>
            </w:tcBorders>
            <w:shd w:val="clear" w:color="auto" w:fill="auto"/>
            <w:vAlign w:val="bottom"/>
          </w:tcPr>
          <w:p w:rsidR="00DA433E" w:rsidRDefault="00280FA7" w:rsidP="00DA433E">
            <w:pPr>
              <w:jc w:val="right"/>
              <w:rPr>
                <w:rFonts w:ascii="Arial" w:hAnsi="Arial" w:cs="Arial"/>
                <w:color w:val="000000"/>
                <w:sz w:val="20"/>
                <w:szCs w:val="20"/>
              </w:rPr>
            </w:pPr>
            <w:r>
              <w:rPr>
                <w:rFonts w:ascii="Arial" w:hAnsi="Arial" w:cs="Arial"/>
                <w:color w:val="000000"/>
                <w:sz w:val="20"/>
                <w:szCs w:val="20"/>
              </w:rPr>
              <w:t>10,519,132</w:t>
            </w:r>
          </w:p>
        </w:tc>
      </w:tr>
      <w:tr w:rsidR="00DA433E" w:rsidRPr="00DA433E" w:rsidTr="00CA50D5">
        <w:trPr>
          <w:trHeight w:val="300"/>
        </w:trPr>
        <w:tc>
          <w:tcPr>
            <w:tcW w:w="4315" w:type="dxa"/>
            <w:hideMark/>
          </w:tcPr>
          <w:p w:rsidR="00DA433E" w:rsidRPr="00DA433E" w:rsidRDefault="00DA433E" w:rsidP="00DA433E">
            <w:pPr>
              <w:rPr>
                <w:rFonts w:ascii="Calibri" w:eastAsia="Calibri" w:hAnsi="Calibri" w:cs="Times New Roman"/>
              </w:rPr>
            </w:pPr>
            <w:r w:rsidRPr="00DA433E">
              <w:rPr>
                <w:rFonts w:ascii="Calibri" w:eastAsia="Calibri" w:hAnsi="Calibri" w:cs="Times New Roman"/>
              </w:rPr>
              <w:t>Residential (kWh)</w:t>
            </w:r>
          </w:p>
        </w:tc>
        <w:tc>
          <w:tcPr>
            <w:tcW w:w="1710" w:type="dxa"/>
            <w:tcBorders>
              <w:top w:val="nil"/>
              <w:left w:val="single" w:sz="4" w:space="0" w:color="000000"/>
              <w:bottom w:val="single" w:sz="4" w:space="0" w:color="000000"/>
              <w:right w:val="single" w:sz="4" w:space="0" w:color="000000"/>
            </w:tcBorders>
            <w:shd w:val="clear" w:color="auto" w:fill="auto"/>
            <w:vAlign w:val="bottom"/>
          </w:tcPr>
          <w:p w:rsidR="00DA433E" w:rsidRDefault="00280FA7" w:rsidP="00DA433E">
            <w:pPr>
              <w:jc w:val="right"/>
              <w:rPr>
                <w:rFonts w:ascii="Arial" w:hAnsi="Arial" w:cs="Arial"/>
                <w:color w:val="000000"/>
                <w:sz w:val="20"/>
                <w:szCs w:val="20"/>
              </w:rPr>
            </w:pPr>
            <w:r>
              <w:rPr>
                <w:rFonts w:ascii="Arial" w:hAnsi="Arial" w:cs="Arial"/>
                <w:color w:val="000000"/>
                <w:sz w:val="20"/>
                <w:szCs w:val="20"/>
              </w:rPr>
              <w:t>7,589,053</w:t>
            </w:r>
          </w:p>
        </w:tc>
        <w:tc>
          <w:tcPr>
            <w:tcW w:w="1620" w:type="dxa"/>
            <w:tcBorders>
              <w:top w:val="nil"/>
              <w:left w:val="nil"/>
              <w:bottom w:val="single" w:sz="4" w:space="0" w:color="000000"/>
              <w:right w:val="single" w:sz="4" w:space="0" w:color="000000"/>
            </w:tcBorders>
            <w:shd w:val="clear" w:color="auto" w:fill="auto"/>
            <w:vAlign w:val="bottom"/>
          </w:tcPr>
          <w:p w:rsidR="00DA433E" w:rsidRDefault="00280FA7" w:rsidP="00280FA7">
            <w:pPr>
              <w:jc w:val="right"/>
              <w:rPr>
                <w:rFonts w:ascii="Arial" w:hAnsi="Arial" w:cs="Arial"/>
                <w:color w:val="000000"/>
                <w:sz w:val="20"/>
                <w:szCs w:val="20"/>
              </w:rPr>
            </w:pPr>
            <w:r>
              <w:rPr>
                <w:rFonts w:ascii="Arial" w:hAnsi="Arial" w:cs="Arial"/>
                <w:color w:val="000000"/>
                <w:sz w:val="20"/>
                <w:szCs w:val="20"/>
              </w:rPr>
              <w:t>7,560,119</w:t>
            </w:r>
          </w:p>
        </w:tc>
        <w:tc>
          <w:tcPr>
            <w:tcW w:w="1705" w:type="dxa"/>
            <w:tcBorders>
              <w:top w:val="nil"/>
              <w:left w:val="nil"/>
              <w:bottom w:val="single" w:sz="4" w:space="0" w:color="000000"/>
              <w:right w:val="single" w:sz="4" w:space="0" w:color="000000"/>
            </w:tcBorders>
            <w:shd w:val="clear" w:color="auto" w:fill="auto"/>
            <w:vAlign w:val="bottom"/>
          </w:tcPr>
          <w:p w:rsidR="00DA433E" w:rsidRDefault="00D447F6" w:rsidP="00DA433E">
            <w:pPr>
              <w:jc w:val="right"/>
              <w:rPr>
                <w:rFonts w:ascii="Arial" w:hAnsi="Arial" w:cs="Arial"/>
                <w:color w:val="000000"/>
                <w:sz w:val="20"/>
                <w:szCs w:val="20"/>
              </w:rPr>
            </w:pPr>
            <w:r>
              <w:rPr>
                <w:rFonts w:ascii="Arial" w:hAnsi="Arial" w:cs="Arial"/>
                <w:color w:val="000000"/>
                <w:sz w:val="20"/>
                <w:szCs w:val="20"/>
              </w:rPr>
              <w:t>7</w:t>
            </w:r>
            <w:r w:rsidR="00280FA7">
              <w:rPr>
                <w:rFonts w:ascii="Arial" w:hAnsi="Arial" w:cs="Arial"/>
                <w:color w:val="000000"/>
                <w:sz w:val="20"/>
                <w:szCs w:val="20"/>
              </w:rPr>
              <w:t>,465,564</w:t>
            </w:r>
          </w:p>
        </w:tc>
      </w:tr>
      <w:tr w:rsidR="00DA433E" w:rsidRPr="00DA433E" w:rsidTr="00CA50D5">
        <w:trPr>
          <w:trHeight w:val="300"/>
        </w:trPr>
        <w:tc>
          <w:tcPr>
            <w:tcW w:w="4315" w:type="dxa"/>
            <w:hideMark/>
          </w:tcPr>
          <w:p w:rsidR="00DA433E" w:rsidRPr="00DA433E" w:rsidRDefault="00DA433E" w:rsidP="00DA433E">
            <w:pPr>
              <w:rPr>
                <w:rFonts w:ascii="Calibri" w:eastAsia="Calibri" w:hAnsi="Calibri" w:cs="Times New Roman"/>
              </w:rPr>
            </w:pPr>
            <w:r w:rsidRPr="00DA433E">
              <w:rPr>
                <w:rFonts w:ascii="Calibri" w:eastAsia="Calibri" w:hAnsi="Calibri" w:cs="Times New Roman"/>
              </w:rPr>
              <w:t>Total</w:t>
            </w:r>
          </w:p>
        </w:tc>
        <w:tc>
          <w:tcPr>
            <w:tcW w:w="1710" w:type="dxa"/>
            <w:tcBorders>
              <w:top w:val="nil"/>
              <w:left w:val="single" w:sz="4" w:space="0" w:color="000000"/>
              <w:bottom w:val="single" w:sz="4" w:space="0" w:color="000000"/>
              <w:right w:val="single" w:sz="4" w:space="0" w:color="000000"/>
            </w:tcBorders>
            <w:shd w:val="clear" w:color="auto" w:fill="auto"/>
            <w:vAlign w:val="bottom"/>
          </w:tcPr>
          <w:p w:rsidR="00DA433E" w:rsidRDefault="00280FA7" w:rsidP="00DA433E">
            <w:pPr>
              <w:jc w:val="right"/>
              <w:rPr>
                <w:rFonts w:ascii="Arial" w:hAnsi="Arial" w:cs="Arial"/>
                <w:b/>
                <w:bCs/>
                <w:color w:val="000000"/>
                <w:sz w:val="20"/>
                <w:szCs w:val="20"/>
              </w:rPr>
            </w:pPr>
            <w:r>
              <w:rPr>
                <w:rFonts w:ascii="Arial" w:hAnsi="Arial" w:cs="Arial"/>
                <w:b/>
                <w:bCs/>
                <w:color w:val="000000"/>
                <w:sz w:val="20"/>
                <w:szCs w:val="20"/>
              </w:rPr>
              <w:t>17,124,633</w:t>
            </w:r>
          </w:p>
        </w:tc>
        <w:tc>
          <w:tcPr>
            <w:tcW w:w="1620" w:type="dxa"/>
            <w:tcBorders>
              <w:top w:val="nil"/>
              <w:left w:val="nil"/>
              <w:bottom w:val="single" w:sz="4" w:space="0" w:color="000000"/>
              <w:right w:val="single" w:sz="4" w:space="0" w:color="000000"/>
            </w:tcBorders>
            <w:shd w:val="clear" w:color="auto" w:fill="auto"/>
            <w:vAlign w:val="bottom"/>
          </w:tcPr>
          <w:p w:rsidR="00DA433E" w:rsidRDefault="00280FA7" w:rsidP="00DA433E">
            <w:pPr>
              <w:jc w:val="right"/>
              <w:rPr>
                <w:rFonts w:ascii="Arial" w:hAnsi="Arial" w:cs="Arial"/>
                <w:b/>
                <w:bCs/>
                <w:color w:val="000000"/>
                <w:sz w:val="20"/>
                <w:szCs w:val="20"/>
              </w:rPr>
            </w:pPr>
            <w:r>
              <w:rPr>
                <w:rFonts w:ascii="Arial" w:hAnsi="Arial" w:cs="Arial"/>
                <w:b/>
                <w:bCs/>
                <w:color w:val="000000"/>
                <w:sz w:val="20"/>
                <w:szCs w:val="20"/>
              </w:rPr>
              <w:t>17,710,555</w:t>
            </w:r>
          </w:p>
        </w:tc>
        <w:tc>
          <w:tcPr>
            <w:tcW w:w="1705" w:type="dxa"/>
            <w:tcBorders>
              <w:top w:val="nil"/>
              <w:left w:val="nil"/>
              <w:bottom w:val="single" w:sz="4" w:space="0" w:color="000000"/>
              <w:right w:val="single" w:sz="4" w:space="0" w:color="000000"/>
            </w:tcBorders>
            <w:shd w:val="clear" w:color="auto" w:fill="auto"/>
            <w:vAlign w:val="bottom"/>
          </w:tcPr>
          <w:p w:rsidR="00DA433E" w:rsidRDefault="00280FA7" w:rsidP="00DA433E">
            <w:pPr>
              <w:jc w:val="right"/>
              <w:rPr>
                <w:rFonts w:ascii="Arial" w:hAnsi="Arial" w:cs="Arial"/>
                <w:b/>
                <w:bCs/>
                <w:color w:val="000000"/>
                <w:sz w:val="20"/>
                <w:szCs w:val="20"/>
              </w:rPr>
            </w:pPr>
            <w:r>
              <w:rPr>
                <w:rFonts w:ascii="Arial" w:hAnsi="Arial" w:cs="Arial"/>
                <w:b/>
                <w:bCs/>
                <w:color w:val="000000"/>
                <w:sz w:val="20"/>
                <w:szCs w:val="20"/>
              </w:rPr>
              <w:t>17,984,695</w:t>
            </w:r>
          </w:p>
        </w:tc>
      </w:tr>
      <w:tr w:rsidR="00DA433E" w:rsidRPr="00DA433E" w:rsidTr="00CA50D5">
        <w:trPr>
          <w:trHeight w:val="300"/>
        </w:trPr>
        <w:tc>
          <w:tcPr>
            <w:tcW w:w="4315" w:type="dxa"/>
            <w:hideMark/>
          </w:tcPr>
          <w:p w:rsidR="00DA433E" w:rsidRPr="00DA433E" w:rsidRDefault="00DA433E" w:rsidP="00DA433E">
            <w:pPr>
              <w:rPr>
                <w:rFonts w:ascii="Calibri" w:eastAsia="Calibri" w:hAnsi="Calibri" w:cs="Times New Roman"/>
              </w:rPr>
            </w:pPr>
            <w:r w:rsidRPr="00DA433E">
              <w:rPr>
                <w:rFonts w:ascii="Calibri" w:eastAsia="Calibri" w:hAnsi="Calibri" w:cs="Times New Roman"/>
              </w:rPr>
              <w:t>Count of Residential Premises</w:t>
            </w:r>
          </w:p>
        </w:tc>
        <w:tc>
          <w:tcPr>
            <w:tcW w:w="1710" w:type="dxa"/>
            <w:tcBorders>
              <w:top w:val="nil"/>
              <w:left w:val="single" w:sz="4" w:space="0" w:color="000000"/>
              <w:bottom w:val="single" w:sz="4" w:space="0" w:color="000000"/>
              <w:right w:val="single" w:sz="4" w:space="0" w:color="000000"/>
            </w:tcBorders>
            <w:shd w:val="clear" w:color="auto" w:fill="auto"/>
            <w:vAlign w:val="bottom"/>
          </w:tcPr>
          <w:p w:rsidR="00DA433E" w:rsidRDefault="00280FA7" w:rsidP="00DA433E">
            <w:pPr>
              <w:jc w:val="right"/>
              <w:rPr>
                <w:rFonts w:ascii="Arial" w:hAnsi="Arial" w:cs="Arial"/>
                <w:b/>
                <w:bCs/>
                <w:color w:val="000000"/>
                <w:sz w:val="20"/>
                <w:szCs w:val="20"/>
              </w:rPr>
            </w:pPr>
            <w:r>
              <w:rPr>
                <w:rFonts w:ascii="Arial" w:hAnsi="Arial" w:cs="Arial"/>
                <w:b/>
                <w:bCs/>
                <w:color w:val="000000"/>
                <w:sz w:val="20"/>
                <w:szCs w:val="20"/>
              </w:rPr>
              <w:t>1,232</w:t>
            </w:r>
          </w:p>
        </w:tc>
        <w:tc>
          <w:tcPr>
            <w:tcW w:w="1620" w:type="dxa"/>
            <w:tcBorders>
              <w:top w:val="nil"/>
              <w:left w:val="nil"/>
              <w:bottom w:val="single" w:sz="4" w:space="0" w:color="000000"/>
              <w:right w:val="single" w:sz="4" w:space="0" w:color="000000"/>
            </w:tcBorders>
            <w:shd w:val="clear" w:color="auto" w:fill="auto"/>
            <w:vAlign w:val="bottom"/>
          </w:tcPr>
          <w:p w:rsidR="00DA433E" w:rsidRDefault="00280FA7" w:rsidP="00DA433E">
            <w:pPr>
              <w:jc w:val="right"/>
              <w:rPr>
                <w:rFonts w:ascii="Arial" w:hAnsi="Arial" w:cs="Arial"/>
                <w:b/>
                <w:bCs/>
                <w:color w:val="000000"/>
                <w:sz w:val="20"/>
                <w:szCs w:val="20"/>
              </w:rPr>
            </w:pPr>
            <w:r>
              <w:rPr>
                <w:rFonts w:ascii="Arial" w:hAnsi="Arial" w:cs="Arial"/>
                <w:b/>
                <w:bCs/>
                <w:color w:val="000000"/>
                <w:sz w:val="20"/>
                <w:szCs w:val="20"/>
              </w:rPr>
              <w:t>1,228</w:t>
            </w:r>
          </w:p>
        </w:tc>
        <w:tc>
          <w:tcPr>
            <w:tcW w:w="1705" w:type="dxa"/>
            <w:tcBorders>
              <w:top w:val="nil"/>
              <w:left w:val="nil"/>
              <w:bottom w:val="single" w:sz="4" w:space="0" w:color="000000"/>
              <w:right w:val="single" w:sz="4" w:space="0" w:color="000000"/>
            </w:tcBorders>
            <w:shd w:val="clear" w:color="auto" w:fill="auto"/>
            <w:vAlign w:val="bottom"/>
          </w:tcPr>
          <w:p w:rsidR="00DA433E" w:rsidRDefault="00280FA7" w:rsidP="00DA433E">
            <w:pPr>
              <w:jc w:val="right"/>
              <w:rPr>
                <w:rFonts w:ascii="Arial" w:hAnsi="Arial" w:cs="Arial"/>
                <w:b/>
                <w:bCs/>
                <w:color w:val="000000"/>
                <w:sz w:val="20"/>
                <w:szCs w:val="20"/>
              </w:rPr>
            </w:pPr>
            <w:r>
              <w:rPr>
                <w:rFonts w:ascii="Arial" w:hAnsi="Arial" w:cs="Arial"/>
                <w:b/>
                <w:bCs/>
                <w:color w:val="000000"/>
                <w:sz w:val="20"/>
                <w:szCs w:val="20"/>
              </w:rPr>
              <w:t>1,228</w:t>
            </w:r>
          </w:p>
        </w:tc>
      </w:tr>
      <w:tr w:rsidR="00DA433E" w:rsidRPr="00DA433E" w:rsidTr="00CA50D5">
        <w:trPr>
          <w:trHeight w:val="300"/>
        </w:trPr>
        <w:tc>
          <w:tcPr>
            <w:tcW w:w="4315" w:type="dxa"/>
            <w:hideMark/>
          </w:tcPr>
          <w:p w:rsidR="00DA433E" w:rsidRPr="00DA433E" w:rsidRDefault="00DA433E" w:rsidP="00DA433E">
            <w:pPr>
              <w:rPr>
                <w:rFonts w:ascii="Calibri" w:eastAsia="Calibri" w:hAnsi="Calibri" w:cs="Times New Roman"/>
              </w:rPr>
            </w:pPr>
            <w:r w:rsidRPr="00DA433E">
              <w:rPr>
                <w:rFonts w:ascii="Calibri" w:eastAsia="Calibri" w:hAnsi="Calibri" w:cs="Times New Roman"/>
              </w:rPr>
              <w:t>Average Residential Usage</w:t>
            </w:r>
          </w:p>
        </w:tc>
        <w:tc>
          <w:tcPr>
            <w:tcW w:w="1710" w:type="dxa"/>
            <w:tcBorders>
              <w:top w:val="nil"/>
              <w:left w:val="single" w:sz="4" w:space="0" w:color="000000"/>
              <w:bottom w:val="single" w:sz="4" w:space="0" w:color="000000"/>
              <w:right w:val="single" w:sz="4" w:space="0" w:color="000000"/>
            </w:tcBorders>
            <w:shd w:val="clear" w:color="auto" w:fill="auto"/>
            <w:vAlign w:val="bottom"/>
          </w:tcPr>
          <w:p w:rsidR="00DA433E" w:rsidRDefault="00280FA7" w:rsidP="00DA433E">
            <w:pPr>
              <w:jc w:val="right"/>
              <w:rPr>
                <w:rFonts w:ascii="Arial" w:hAnsi="Arial" w:cs="Arial"/>
                <w:b/>
                <w:bCs/>
                <w:color w:val="000000"/>
                <w:sz w:val="20"/>
                <w:szCs w:val="20"/>
              </w:rPr>
            </w:pPr>
            <w:r>
              <w:rPr>
                <w:rFonts w:ascii="Arial" w:hAnsi="Arial" w:cs="Arial"/>
                <w:b/>
                <w:bCs/>
                <w:color w:val="000000"/>
                <w:sz w:val="20"/>
                <w:szCs w:val="20"/>
              </w:rPr>
              <w:t>6,160</w:t>
            </w:r>
          </w:p>
        </w:tc>
        <w:tc>
          <w:tcPr>
            <w:tcW w:w="1620" w:type="dxa"/>
            <w:tcBorders>
              <w:top w:val="nil"/>
              <w:left w:val="nil"/>
              <w:bottom w:val="single" w:sz="4" w:space="0" w:color="000000"/>
              <w:right w:val="single" w:sz="4" w:space="0" w:color="000000"/>
            </w:tcBorders>
            <w:shd w:val="clear" w:color="auto" w:fill="auto"/>
            <w:vAlign w:val="bottom"/>
          </w:tcPr>
          <w:p w:rsidR="00DA433E" w:rsidRDefault="00280FA7" w:rsidP="00DA433E">
            <w:pPr>
              <w:jc w:val="right"/>
              <w:rPr>
                <w:rFonts w:ascii="Arial" w:hAnsi="Arial" w:cs="Arial"/>
                <w:b/>
                <w:bCs/>
                <w:color w:val="000000"/>
                <w:sz w:val="20"/>
                <w:szCs w:val="20"/>
              </w:rPr>
            </w:pPr>
            <w:r>
              <w:rPr>
                <w:rFonts w:ascii="Arial" w:hAnsi="Arial" w:cs="Arial"/>
                <w:b/>
                <w:bCs/>
                <w:color w:val="000000"/>
                <w:sz w:val="20"/>
                <w:szCs w:val="20"/>
              </w:rPr>
              <w:t>6,156</w:t>
            </w:r>
          </w:p>
        </w:tc>
        <w:tc>
          <w:tcPr>
            <w:tcW w:w="1705" w:type="dxa"/>
            <w:tcBorders>
              <w:top w:val="nil"/>
              <w:left w:val="nil"/>
              <w:bottom w:val="single" w:sz="4" w:space="0" w:color="000000"/>
              <w:right w:val="single" w:sz="4" w:space="0" w:color="000000"/>
            </w:tcBorders>
            <w:shd w:val="clear" w:color="auto" w:fill="auto"/>
            <w:vAlign w:val="bottom"/>
          </w:tcPr>
          <w:p w:rsidR="00DA433E" w:rsidRDefault="00280FA7" w:rsidP="00DA433E">
            <w:pPr>
              <w:jc w:val="right"/>
              <w:rPr>
                <w:rFonts w:ascii="Arial" w:hAnsi="Arial" w:cs="Arial"/>
                <w:b/>
                <w:bCs/>
                <w:color w:val="000000"/>
                <w:sz w:val="20"/>
                <w:szCs w:val="20"/>
              </w:rPr>
            </w:pPr>
            <w:r>
              <w:rPr>
                <w:rFonts w:ascii="Arial" w:hAnsi="Arial" w:cs="Arial"/>
                <w:b/>
                <w:bCs/>
                <w:color w:val="000000"/>
                <w:sz w:val="20"/>
                <w:szCs w:val="20"/>
              </w:rPr>
              <w:t>6,079</w:t>
            </w:r>
          </w:p>
        </w:tc>
      </w:tr>
    </w:tbl>
    <w:p w:rsidR="00E554D7" w:rsidRDefault="00E554D7">
      <w:pPr>
        <w:rPr>
          <w:sz w:val="28"/>
          <w:szCs w:val="28"/>
        </w:rPr>
      </w:pPr>
    </w:p>
    <w:p w:rsidR="00B53EA6" w:rsidRDefault="00B53EA6">
      <w:pPr>
        <w:rPr>
          <w:rFonts w:cs="Times New Roman"/>
        </w:rPr>
      </w:pPr>
      <w:r>
        <w:t>Table L contains targets towards increased electric efficiency and conservation. This data is based on LEAP modeling which combines existing electric energy use, projected electric energy use, population changes as well as projected trends that will either in</w:t>
      </w:r>
      <w:r w:rsidRPr="00D23219">
        <w:t xml:space="preserve">crease or decrease electric consumption.  In this modeling the timing of some of the trends </w:t>
      </w:r>
      <w:r w:rsidRPr="00D23219">
        <w:rPr>
          <w:rFonts w:cs="Times New Roman"/>
        </w:rPr>
        <w:t>means that the efficiency trends outpace the electrification trends in some middle years, which causes the dip.</w:t>
      </w:r>
    </w:p>
    <w:p w:rsidR="009E0F17" w:rsidRDefault="009E0F17">
      <w:pPr>
        <w:rPr>
          <w:sz w:val="28"/>
          <w:szCs w:val="28"/>
        </w:rPr>
      </w:pPr>
    </w:p>
    <w:tbl>
      <w:tblPr>
        <w:tblStyle w:val="TableGrid"/>
        <w:tblW w:w="0" w:type="auto"/>
        <w:tblLook w:val="04A0" w:firstRow="1" w:lastRow="0" w:firstColumn="1" w:lastColumn="0" w:noHBand="0" w:noVBand="1"/>
      </w:tblPr>
      <w:tblGrid>
        <w:gridCol w:w="3552"/>
        <w:gridCol w:w="1520"/>
        <w:gridCol w:w="1923"/>
        <w:gridCol w:w="2581"/>
      </w:tblGrid>
      <w:tr w:rsidR="00DA433E" w:rsidRPr="00DA433E" w:rsidTr="00DA433E">
        <w:trPr>
          <w:trHeight w:val="300"/>
        </w:trPr>
        <w:tc>
          <w:tcPr>
            <w:tcW w:w="4680" w:type="dxa"/>
            <w:shd w:val="clear" w:color="auto" w:fill="E2EFD9"/>
            <w:noWrap/>
            <w:hideMark/>
          </w:tcPr>
          <w:p w:rsidR="00DA433E" w:rsidRPr="00DA433E" w:rsidRDefault="00D23219" w:rsidP="00DA433E">
            <w:pPr>
              <w:tabs>
                <w:tab w:val="left" w:pos="1155"/>
              </w:tabs>
              <w:rPr>
                <w:rFonts w:ascii="Calibri" w:eastAsia="Calibri" w:hAnsi="Calibri" w:cs="Times New Roman"/>
                <w:b/>
                <w:bCs/>
              </w:rPr>
            </w:pPr>
            <w:r>
              <w:rPr>
                <w:rFonts w:ascii="Calibri" w:eastAsia="Calibri" w:hAnsi="Calibri" w:cs="Times New Roman"/>
                <w:b/>
                <w:bCs/>
              </w:rPr>
              <w:t>L</w:t>
            </w:r>
            <w:r w:rsidR="00DA433E" w:rsidRPr="00DA433E">
              <w:rPr>
                <w:rFonts w:ascii="Calibri" w:eastAsia="Calibri" w:hAnsi="Calibri" w:cs="Times New Roman"/>
                <w:b/>
                <w:bCs/>
              </w:rPr>
              <w:t>. Electricity Efficiency Targets</w:t>
            </w:r>
          </w:p>
        </w:tc>
        <w:tc>
          <w:tcPr>
            <w:tcW w:w="1960" w:type="dxa"/>
            <w:shd w:val="clear" w:color="auto" w:fill="E2EFD9"/>
            <w:noWrap/>
            <w:hideMark/>
          </w:tcPr>
          <w:p w:rsidR="00DA433E" w:rsidRPr="00DA433E" w:rsidRDefault="00DA433E" w:rsidP="00DA433E">
            <w:pPr>
              <w:tabs>
                <w:tab w:val="left" w:pos="1155"/>
              </w:tabs>
              <w:rPr>
                <w:rFonts w:ascii="Calibri" w:eastAsia="Calibri" w:hAnsi="Calibri" w:cs="Times New Roman"/>
                <w:b/>
                <w:bCs/>
              </w:rPr>
            </w:pPr>
            <w:r w:rsidRPr="00DA433E">
              <w:rPr>
                <w:rFonts w:ascii="Calibri" w:eastAsia="Calibri" w:hAnsi="Calibri" w:cs="Times New Roman"/>
                <w:b/>
                <w:bCs/>
              </w:rPr>
              <w:t>2025</w:t>
            </w:r>
          </w:p>
        </w:tc>
        <w:tc>
          <w:tcPr>
            <w:tcW w:w="2500" w:type="dxa"/>
            <w:shd w:val="clear" w:color="auto" w:fill="E2EFD9"/>
            <w:noWrap/>
            <w:hideMark/>
          </w:tcPr>
          <w:p w:rsidR="00DA433E" w:rsidRPr="00DA433E" w:rsidRDefault="00DA433E" w:rsidP="00DA433E">
            <w:pPr>
              <w:tabs>
                <w:tab w:val="left" w:pos="1155"/>
              </w:tabs>
              <w:rPr>
                <w:rFonts w:ascii="Calibri" w:eastAsia="Calibri" w:hAnsi="Calibri" w:cs="Times New Roman"/>
                <w:b/>
                <w:bCs/>
              </w:rPr>
            </w:pPr>
            <w:r w:rsidRPr="00DA433E">
              <w:rPr>
                <w:rFonts w:ascii="Calibri" w:eastAsia="Calibri" w:hAnsi="Calibri" w:cs="Times New Roman"/>
                <w:b/>
                <w:bCs/>
              </w:rPr>
              <w:t>2035</w:t>
            </w:r>
          </w:p>
        </w:tc>
        <w:tc>
          <w:tcPr>
            <w:tcW w:w="3380" w:type="dxa"/>
            <w:shd w:val="clear" w:color="auto" w:fill="E2EFD9"/>
            <w:noWrap/>
            <w:hideMark/>
          </w:tcPr>
          <w:p w:rsidR="00DA433E" w:rsidRPr="00DA433E" w:rsidRDefault="00DA433E" w:rsidP="00DA433E">
            <w:pPr>
              <w:tabs>
                <w:tab w:val="left" w:pos="1155"/>
              </w:tabs>
              <w:rPr>
                <w:rFonts w:ascii="Calibri" w:eastAsia="Calibri" w:hAnsi="Calibri" w:cs="Times New Roman"/>
                <w:b/>
                <w:bCs/>
              </w:rPr>
            </w:pPr>
            <w:r w:rsidRPr="00DA433E">
              <w:rPr>
                <w:rFonts w:ascii="Calibri" w:eastAsia="Calibri" w:hAnsi="Calibri" w:cs="Times New Roman"/>
                <w:b/>
                <w:bCs/>
              </w:rPr>
              <w:t>2050</w:t>
            </w:r>
          </w:p>
        </w:tc>
      </w:tr>
      <w:tr w:rsidR="00DA433E" w:rsidRPr="00DA433E" w:rsidTr="00CA50D5">
        <w:trPr>
          <w:trHeight w:val="300"/>
        </w:trPr>
        <w:tc>
          <w:tcPr>
            <w:tcW w:w="4680" w:type="dxa"/>
            <w:noWrap/>
            <w:hideMark/>
          </w:tcPr>
          <w:p w:rsidR="00DA433E" w:rsidRDefault="00DA433E" w:rsidP="00DA433E">
            <w:pPr>
              <w:tabs>
                <w:tab w:val="left" w:pos="1155"/>
              </w:tabs>
              <w:rPr>
                <w:rFonts w:ascii="Calibri" w:eastAsia="Calibri" w:hAnsi="Calibri" w:cs="Times New Roman"/>
              </w:rPr>
            </w:pPr>
            <w:r w:rsidRPr="00DA433E">
              <w:rPr>
                <w:rFonts w:ascii="Calibri" w:eastAsia="Calibri" w:hAnsi="Calibri" w:cs="Times New Roman"/>
              </w:rPr>
              <w:t>Increase Efficiency and Conservation</w:t>
            </w:r>
          </w:p>
          <w:p w:rsidR="00F81EE7" w:rsidRPr="00DA433E" w:rsidRDefault="00F81EE7" w:rsidP="00DA433E">
            <w:pPr>
              <w:tabs>
                <w:tab w:val="left" w:pos="1155"/>
              </w:tabs>
              <w:rPr>
                <w:rFonts w:ascii="Calibri" w:eastAsia="Calibri" w:hAnsi="Calibri" w:cs="Times New Roman"/>
              </w:rPr>
            </w:pPr>
            <w:r w:rsidRPr="00F81EE7">
              <w:rPr>
                <w:rFonts w:ascii="Calibri" w:eastAsia="Calibri" w:hAnsi="Calibri" w:cs="Times New Roman"/>
                <w:highlight w:val="yellow"/>
              </w:rPr>
              <w:t>(change wording on this)</w:t>
            </w:r>
          </w:p>
        </w:tc>
        <w:tc>
          <w:tcPr>
            <w:tcW w:w="1960" w:type="dxa"/>
            <w:noWrap/>
            <w:hideMark/>
          </w:tcPr>
          <w:p w:rsidR="00DA433E" w:rsidRPr="00DA433E" w:rsidRDefault="00DA433E" w:rsidP="00DA433E">
            <w:pPr>
              <w:tabs>
                <w:tab w:val="left" w:pos="1155"/>
              </w:tabs>
              <w:rPr>
                <w:rFonts w:ascii="Calibri" w:eastAsia="Calibri" w:hAnsi="Calibri" w:cs="Times New Roman"/>
              </w:rPr>
            </w:pPr>
            <w:r w:rsidRPr="00DA433E">
              <w:rPr>
                <w:rFonts w:ascii="Calibri" w:eastAsia="Calibri" w:hAnsi="Calibri" w:cs="Times New Roman"/>
              </w:rPr>
              <w:t>-0.6%</w:t>
            </w:r>
          </w:p>
        </w:tc>
        <w:tc>
          <w:tcPr>
            <w:tcW w:w="2500" w:type="dxa"/>
            <w:noWrap/>
            <w:hideMark/>
          </w:tcPr>
          <w:p w:rsidR="00DA433E" w:rsidRPr="00DA433E" w:rsidRDefault="00DA433E" w:rsidP="00DA433E">
            <w:pPr>
              <w:tabs>
                <w:tab w:val="left" w:pos="1155"/>
              </w:tabs>
              <w:rPr>
                <w:rFonts w:ascii="Calibri" w:eastAsia="Calibri" w:hAnsi="Calibri" w:cs="Times New Roman"/>
              </w:rPr>
            </w:pPr>
            <w:r w:rsidRPr="00DA433E">
              <w:rPr>
                <w:rFonts w:ascii="Calibri" w:eastAsia="Calibri" w:hAnsi="Calibri" w:cs="Times New Roman"/>
              </w:rPr>
              <w:t>5.7%</w:t>
            </w:r>
          </w:p>
        </w:tc>
        <w:tc>
          <w:tcPr>
            <w:tcW w:w="3380" w:type="dxa"/>
            <w:noWrap/>
            <w:hideMark/>
          </w:tcPr>
          <w:p w:rsidR="00DA433E" w:rsidRPr="00DA433E" w:rsidRDefault="00DA433E" w:rsidP="00DA433E">
            <w:pPr>
              <w:tabs>
                <w:tab w:val="left" w:pos="1155"/>
              </w:tabs>
              <w:rPr>
                <w:rFonts w:ascii="Calibri" w:eastAsia="Calibri" w:hAnsi="Calibri" w:cs="Times New Roman"/>
              </w:rPr>
            </w:pPr>
            <w:r w:rsidRPr="00DA433E">
              <w:rPr>
                <w:rFonts w:ascii="Calibri" w:eastAsia="Calibri" w:hAnsi="Calibri" w:cs="Times New Roman"/>
              </w:rPr>
              <w:t>9.9%</w:t>
            </w:r>
          </w:p>
        </w:tc>
      </w:tr>
    </w:tbl>
    <w:p w:rsidR="00DA433E" w:rsidRPr="00312490" w:rsidRDefault="00DA433E" w:rsidP="00CA50D5">
      <w:pPr>
        <w:jc w:val="center"/>
        <w:rPr>
          <w:sz w:val="28"/>
          <w:szCs w:val="28"/>
        </w:rPr>
      </w:pPr>
    </w:p>
    <w:p w:rsidR="00DA433E" w:rsidRDefault="00312490" w:rsidP="00DA433E">
      <w:pPr>
        <w:tabs>
          <w:tab w:val="left" w:pos="1155"/>
        </w:tabs>
      </w:pPr>
      <w:r>
        <w:t>TABLE M</w:t>
      </w:r>
      <w:r w:rsidR="00B53EA6">
        <w:t>: Table M</w:t>
      </w:r>
      <w:r w:rsidR="00DA433E">
        <w:t xml:space="preserve"> shows existing </w:t>
      </w:r>
      <w:r w:rsidR="00051FC2">
        <w:t xml:space="preserve">renewable generation in </w:t>
      </w:r>
      <w:r w:rsidR="007B5A59">
        <w:t>Bradford</w:t>
      </w:r>
      <w:r w:rsidR="00DA433E">
        <w:t xml:space="preserve">, in MW and MWh, based on information available from the Vermont Department of </w:t>
      </w:r>
      <w:r w:rsidR="006A7593">
        <w:t xml:space="preserve">Public Service. This data represents both off site as well as any net metered project that was built or permitted as of September 2016. Any new renewable energy generation systems after September 2016 will count towards meeting </w:t>
      </w:r>
      <w:r w:rsidR="007B5A59">
        <w:t xml:space="preserve">Bradford’s </w:t>
      </w:r>
      <w:r w:rsidR="006A7593">
        <w:t xml:space="preserve">renewable energy goal in Table </w:t>
      </w:r>
      <w:r w:rsidRPr="00312490">
        <w:t>O</w:t>
      </w:r>
      <w:r w:rsidR="006A7593" w:rsidRPr="00312490">
        <w:t>.</w:t>
      </w:r>
    </w:p>
    <w:tbl>
      <w:tblPr>
        <w:tblStyle w:val="TableGrid"/>
        <w:tblW w:w="0" w:type="auto"/>
        <w:tblLook w:val="04A0" w:firstRow="1" w:lastRow="0" w:firstColumn="1" w:lastColumn="0" w:noHBand="0" w:noVBand="1"/>
      </w:tblPr>
      <w:tblGrid>
        <w:gridCol w:w="4680"/>
        <w:gridCol w:w="1960"/>
        <w:gridCol w:w="2500"/>
      </w:tblGrid>
      <w:tr w:rsidR="00DA433E" w:rsidRPr="00444EC3" w:rsidTr="00CA50D5">
        <w:trPr>
          <w:trHeight w:val="312"/>
        </w:trPr>
        <w:tc>
          <w:tcPr>
            <w:tcW w:w="4680" w:type="dxa"/>
            <w:shd w:val="clear" w:color="auto" w:fill="E2EFD9" w:themeFill="accent6" w:themeFillTint="33"/>
            <w:noWrap/>
            <w:hideMark/>
          </w:tcPr>
          <w:p w:rsidR="00DA433E" w:rsidRPr="00312490" w:rsidRDefault="00312490" w:rsidP="00CA50D5">
            <w:pPr>
              <w:tabs>
                <w:tab w:val="left" w:pos="1155"/>
              </w:tabs>
              <w:rPr>
                <w:b/>
                <w:bCs/>
                <w:sz w:val="24"/>
                <w:szCs w:val="24"/>
              </w:rPr>
            </w:pPr>
            <w:r w:rsidRPr="00312490">
              <w:rPr>
                <w:b/>
                <w:bCs/>
                <w:sz w:val="24"/>
                <w:szCs w:val="24"/>
              </w:rPr>
              <w:t>M</w:t>
            </w:r>
            <w:r w:rsidR="00DA433E" w:rsidRPr="00312490">
              <w:rPr>
                <w:b/>
                <w:bCs/>
                <w:sz w:val="24"/>
                <w:szCs w:val="24"/>
              </w:rPr>
              <w:t>. Existing Renewable Generation</w:t>
            </w:r>
          </w:p>
        </w:tc>
        <w:tc>
          <w:tcPr>
            <w:tcW w:w="1960" w:type="dxa"/>
            <w:shd w:val="clear" w:color="auto" w:fill="E2EFD9" w:themeFill="accent6" w:themeFillTint="33"/>
            <w:noWrap/>
            <w:hideMark/>
          </w:tcPr>
          <w:p w:rsidR="00DA433E" w:rsidRPr="00312490" w:rsidRDefault="00DA433E" w:rsidP="00CA50D5">
            <w:pPr>
              <w:tabs>
                <w:tab w:val="left" w:pos="1155"/>
              </w:tabs>
              <w:rPr>
                <w:b/>
                <w:bCs/>
                <w:sz w:val="24"/>
                <w:szCs w:val="24"/>
              </w:rPr>
            </w:pPr>
            <w:r w:rsidRPr="00312490">
              <w:rPr>
                <w:b/>
                <w:bCs/>
                <w:sz w:val="24"/>
                <w:szCs w:val="24"/>
              </w:rPr>
              <w:t>MW</w:t>
            </w:r>
          </w:p>
        </w:tc>
        <w:tc>
          <w:tcPr>
            <w:tcW w:w="2500" w:type="dxa"/>
            <w:shd w:val="clear" w:color="auto" w:fill="E2EFD9" w:themeFill="accent6" w:themeFillTint="33"/>
            <w:noWrap/>
            <w:hideMark/>
          </w:tcPr>
          <w:p w:rsidR="00DA433E" w:rsidRPr="00312490" w:rsidRDefault="00DA433E" w:rsidP="00CA50D5">
            <w:pPr>
              <w:tabs>
                <w:tab w:val="left" w:pos="1155"/>
              </w:tabs>
              <w:rPr>
                <w:b/>
                <w:bCs/>
                <w:sz w:val="24"/>
                <w:szCs w:val="24"/>
              </w:rPr>
            </w:pPr>
            <w:r w:rsidRPr="00312490">
              <w:rPr>
                <w:b/>
                <w:bCs/>
                <w:sz w:val="24"/>
                <w:szCs w:val="24"/>
              </w:rPr>
              <w:t>MWh</w:t>
            </w:r>
          </w:p>
        </w:tc>
      </w:tr>
      <w:tr w:rsidR="00DA433E" w:rsidRPr="00444EC3" w:rsidTr="00CA50D5">
        <w:trPr>
          <w:trHeight w:val="300"/>
        </w:trPr>
        <w:tc>
          <w:tcPr>
            <w:tcW w:w="4680" w:type="dxa"/>
            <w:noWrap/>
            <w:hideMark/>
          </w:tcPr>
          <w:p w:rsidR="00DA433E" w:rsidRPr="007535D3" w:rsidRDefault="00DA433E" w:rsidP="00CA50D5">
            <w:pPr>
              <w:tabs>
                <w:tab w:val="left" w:pos="1155"/>
              </w:tabs>
            </w:pPr>
            <w:r w:rsidRPr="007535D3">
              <w:t xml:space="preserve">Solar </w:t>
            </w:r>
            <w:r w:rsidR="003F7ACB">
              <w:t>(Net Metering)</w:t>
            </w:r>
          </w:p>
        </w:tc>
        <w:tc>
          <w:tcPr>
            <w:tcW w:w="1960" w:type="dxa"/>
            <w:noWrap/>
            <w:hideMark/>
          </w:tcPr>
          <w:p w:rsidR="00DA433E" w:rsidRPr="007535D3" w:rsidRDefault="00861CB3" w:rsidP="00CA50D5">
            <w:pPr>
              <w:tabs>
                <w:tab w:val="left" w:pos="1155"/>
              </w:tabs>
            </w:pPr>
            <w:r>
              <w:t>0.</w:t>
            </w:r>
            <w:r w:rsidR="009E0F17">
              <w:t>37</w:t>
            </w:r>
          </w:p>
        </w:tc>
        <w:tc>
          <w:tcPr>
            <w:tcW w:w="2500" w:type="dxa"/>
            <w:noWrap/>
            <w:hideMark/>
          </w:tcPr>
          <w:p w:rsidR="00DA433E" w:rsidRPr="007535D3" w:rsidRDefault="009E0F17" w:rsidP="00CA50D5">
            <w:pPr>
              <w:tabs>
                <w:tab w:val="left" w:pos="1155"/>
              </w:tabs>
            </w:pPr>
            <w:r>
              <w:t>454</w:t>
            </w:r>
          </w:p>
        </w:tc>
      </w:tr>
      <w:tr w:rsidR="003F7ACB" w:rsidRPr="00444EC3" w:rsidTr="00CA50D5">
        <w:trPr>
          <w:trHeight w:val="300"/>
        </w:trPr>
        <w:tc>
          <w:tcPr>
            <w:tcW w:w="4680" w:type="dxa"/>
            <w:noWrap/>
          </w:tcPr>
          <w:p w:rsidR="003F7ACB" w:rsidRPr="007535D3" w:rsidRDefault="003F7ACB" w:rsidP="00211DF5">
            <w:pPr>
              <w:tabs>
                <w:tab w:val="left" w:pos="1155"/>
              </w:tabs>
            </w:pPr>
            <w:r>
              <w:t>Solar (</w:t>
            </w:r>
            <w:r w:rsidR="00211DF5">
              <w:t>Not Connected</w:t>
            </w:r>
            <w:r>
              <w:t xml:space="preserve">) </w:t>
            </w:r>
          </w:p>
        </w:tc>
        <w:tc>
          <w:tcPr>
            <w:tcW w:w="1960" w:type="dxa"/>
            <w:noWrap/>
          </w:tcPr>
          <w:p w:rsidR="003F7ACB" w:rsidRDefault="003F7ACB" w:rsidP="00CA50D5">
            <w:pPr>
              <w:tabs>
                <w:tab w:val="left" w:pos="1155"/>
              </w:tabs>
            </w:pPr>
          </w:p>
        </w:tc>
        <w:tc>
          <w:tcPr>
            <w:tcW w:w="2500" w:type="dxa"/>
            <w:noWrap/>
          </w:tcPr>
          <w:p w:rsidR="003F7ACB" w:rsidRDefault="003F7ACB" w:rsidP="00CA50D5">
            <w:pPr>
              <w:tabs>
                <w:tab w:val="left" w:pos="1155"/>
              </w:tabs>
            </w:pPr>
          </w:p>
        </w:tc>
      </w:tr>
      <w:tr w:rsidR="00DA433E" w:rsidRPr="00444EC3" w:rsidTr="00CA50D5">
        <w:trPr>
          <w:trHeight w:val="300"/>
        </w:trPr>
        <w:tc>
          <w:tcPr>
            <w:tcW w:w="4680" w:type="dxa"/>
            <w:noWrap/>
            <w:hideMark/>
          </w:tcPr>
          <w:p w:rsidR="00DA433E" w:rsidRPr="007535D3" w:rsidRDefault="00DA433E" w:rsidP="00CA50D5">
            <w:pPr>
              <w:tabs>
                <w:tab w:val="left" w:pos="1155"/>
              </w:tabs>
            </w:pPr>
            <w:r w:rsidRPr="007535D3">
              <w:t>Wind</w:t>
            </w:r>
          </w:p>
        </w:tc>
        <w:tc>
          <w:tcPr>
            <w:tcW w:w="1960" w:type="dxa"/>
            <w:noWrap/>
            <w:hideMark/>
          </w:tcPr>
          <w:p w:rsidR="00DA433E" w:rsidRPr="007535D3" w:rsidRDefault="00DA433E" w:rsidP="00CA50D5">
            <w:pPr>
              <w:tabs>
                <w:tab w:val="left" w:pos="1155"/>
              </w:tabs>
            </w:pPr>
            <w:r w:rsidRPr="007535D3">
              <w:t>0.00</w:t>
            </w:r>
          </w:p>
        </w:tc>
        <w:tc>
          <w:tcPr>
            <w:tcW w:w="2500" w:type="dxa"/>
            <w:noWrap/>
            <w:hideMark/>
          </w:tcPr>
          <w:p w:rsidR="00DA433E" w:rsidRPr="007535D3" w:rsidRDefault="00DA433E" w:rsidP="00CA50D5">
            <w:pPr>
              <w:tabs>
                <w:tab w:val="left" w:pos="1155"/>
              </w:tabs>
            </w:pPr>
            <w:r w:rsidRPr="007535D3">
              <w:t>0</w:t>
            </w:r>
          </w:p>
        </w:tc>
      </w:tr>
      <w:tr w:rsidR="00DA433E" w:rsidRPr="00444EC3" w:rsidTr="00CA50D5">
        <w:trPr>
          <w:trHeight w:val="300"/>
        </w:trPr>
        <w:tc>
          <w:tcPr>
            <w:tcW w:w="4680" w:type="dxa"/>
            <w:noWrap/>
            <w:hideMark/>
          </w:tcPr>
          <w:p w:rsidR="00DA433E" w:rsidRPr="007535D3" w:rsidRDefault="00DA433E" w:rsidP="00CA50D5">
            <w:pPr>
              <w:tabs>
                <w:tab w:val="left" w:pos="1155"/>
              </w:tabs>
            </w:pPr>
            <w:r w:rsidRPr="007535D3">
              <w:t>Hydro</w:t>
            </w:r>
          </w:p>
        </w:tc>
        <w:tc>
          <w:tcPr>
            <w:tcW w:w="1960" w:type="dxa"/>
            <w:noWrap/>
            <w:hideMark/>
          </w:tcPr>
          <w:p w:rsidR="00DA433E" w:rsidRPr="007535D3" w:rsidRDefault="009E0F17" w:rsidP="00CA50D5">
            <w:pPr>
              <w:tabs>
                <w:tab w:val="left" w:pos="1155"/>
              </w:tabs>
            </w:pPr>
            <w:r>
              <w:t>1.50</w:t>
            </w:r>
          </w:p>
        </w:tc>
        <w:tc>
          <w:tcPr>
            <w:tcW w:w="2500" w:type="dxa"/>
            <w:noWrap/>
            <w:hideMark/>
          </w:tcPr>
          <w:p w:rsidR="00DA433E" w:rsidRPr="007535D3" w:rsidRDefault="009E0F17" w:rsidP="00CA50D5">
            <w:pPr>
              <w:tabs>
                <w:tab w:val="left" w:pos="1155"/>
              </w:tabs>
            </w:pPr>
            <w:r>
              <w:t>5256</w:t>
            </w:r>
          </w:p>
        </w:tc>
      </w:tr>
      <w:tr w:rsidR="00DA433E" w:rsidRPr="00444EC3" w:rsidTr="00CA50D5">
        <w:trPr>
          <w:trHeight w:val="300"/>
        </w:trPr>
        <w:tc>
          <w:tcPr>
            <w:tcW w:w="4680" w:type="dxa"/>
            <w:noWrap/>
            <w:hideMark/>
          </w:tcPr>
          <w:p w:rsidR="00DA433E" w:rsidRPr="007535D3" w:rsidRDefault="00DA433E" w:rsidP="00CA50D5">
            <w:pPr>
              <w:tabs>
                <w:tab w:val="left" w:pos="1155"/>
              </w:tabs>
            </w:pPr>
            <w:r w:rsidRPr="007535D3">
              <w:t>Biomass</w:t>
            </w:r>
          </w:p>
        </w:tc>
        <w:tc>
          <w:tcPr>
            <w:tcW w:w="1960" w:type="dxa"/>
            <w:noWrap/>
            <w:hideMark/>
          </w:tcPr>
          <w:p w:rsidR="00DA433E" w:rsidRPr="007535D3" w:rsidRDefault="00DA433E" w:rsidP="00CA50D5">
            <w:pPr>
              <w:tabs>
                <w:tab w:val="left" w:pos="1155"/>
              </w:tabs>
            </w:pPr>
            <w:r w:rsidRPr="007535D3">
              <w:t>0.00</w:t>
            </w:r>
          </w:p>
        </w:tc>
        <w:tc>
          <w:tcPr>
            <w:tcW w:w="2500" w:type="dxa"/>
            <w:noWrap/>
            <w:hideMark/>
          </w:tcPr>
          <w:p w:rsidR="00DA433E" w:rsidRPr="007535D3" w:rsidRDefault="00DA433E" w:rsidP="00CA50D5">
            <w:pPr>
              <w:tabs>
                <w:tab w:val="left" w:pos="1155"/>
              </w:tabs>
            </w:pPr>
            <w:r w:rsidRPr="007535D3">
              <w:t>0</w:t>
            </w:r>
          </w:p>
        </w:tc>
      </w:tr>
      <w:tr w:rsidR="00DA433E" w:rsidRPr="00444EC3" w:rsidTr="00CA50D5">
        <w:trPr>
          <w:trHeight w:val="300"/>
        </w:trPr>
        <w:tc>
          <w:tcPr>
            <w:tcW w:w="4680" w:type="dxa"/>
            <w:noWrap/>
            <w:hideMark/>
          </w:tcPr>
          <w:p w:rsidR="00DA433E" w:rsidRPr="007535D3" w:rsidRDefault="00DA433E" w:rsidP="00CA50D5">
            <w:pPr>
              <w:tabs>
                <w:tab w:val="left" w:pos="1155"/>
              </w:tabs>
            </w:pPr>
            <w:r w:rsidRPr="007535D3">
              <w:lastRenderedPageBreak/>
              <w:t>Other</w:t>
            </w:r>
          </w:p>
        </w:tc>
        <w:tc>
          <w:tcPr>
            <w:tcW w:w="1960" w:type="dxa"/>
            <w:noWrap/>
            <w:hideMark/>
          </w:tcPr>
          <w:p w:rsidR="00DA433E" w:rsidRPr="007535D3" w:rsidRDefault="00DA433E" w:rsidP="00CA50D5">
            <w:pPr>
              <w:tabs>
                <w:tab w:val="left" w:pos="1155"/>
              </w:tabs>
            </w:pPr>
            <w:r w:rsidRPr="007535D3">
              <w:t>0.00</w:t>
            </w:r>
          </w:p>
        </w:tc>
        <w:tc>
          <w:tcPr>
            <w:tcW w:w="2500" w:type="dxa"/>
            <w:noWrap/>
            <w:hideMark/>
          </w:tcPr>
          <w:p w:rsidR="00DA433E" w:rsidRPr="007535D3" w:rsidRDefault="00DA433E" w:rsidP="00CA50D5">
            <w:pPr>
              <w:tabs>
                <w:tab w:val="left" w:pos="1155"/>
              </w:tabs>
            </w:pPr>
            <w:r w:rsidRPr="007535D3">
              <w:t>0</w:t>
            </w:r>
          </w:p>
        </w:tc>
      </w:tr>
      <w:tr w:rsidR="00DA433E" w:rsidRPr="00444EC3" w:rsidTr="00CA50D5">
        <w:trPr>
          <w:trHeight w:val="300"/>
        </w:trPr>
        <w:tc>
          <w:tcPr>
            <w:tcW w:w="4680" w:type="dxa"/>
            <w:noWrap/>
            <w:hideMark/>
          </w:tcPr>
          <w:p w:rsidR="00DA433E" w:rsidRPr="007535D3" w:rsidRDefault="00DA433E" w:rsidP="00CA50D5">
            <w:pPr>
              <w:tabs>
                <w:tab w:val="left" w:pos="1155"/>
              </w:tabs>
              <w:rPr>
                <w:b/>
                <w:bCs/>
              </w:rPr>
            </w:pPr>
            <w:r w:rsidRPr="007535D3">
              <w:rPr>
                <w:b/>
                <w:bCs/>
              </w:rPr>
              <w:t>Total Existing Generation</w:t>
            </w:r>
          </w:p>
        </w:tc>
        <w:tc>
          <w:tcPr>
            <w:tcW w:w="1960" w:type="dxa"/>
            <w:noWrap/>
            <w:hideMark/>
          </w:tcPr>
          <w:p w:rsidR="00DA433E" w:rsidRPr="007535D3" w:rsidRDefault="009E0F17" w:rsidP="00CA50D5">
            <w:pPr>
              <w:tabs>
                <w:tab w:val="left" w:pos="1155"/>
              </w:tabs>
            </w:pPr>
            <w:r>
              <w:t>1.87</w:t>
            </w:r>
          </w:p>
        </w:tc>
        <w:tc>
          <w:tcPr>
            <w:tcW w:w="2500" w:type="dxa"/>
            <w:noWrap/>
            <w:hideMark/>
          </w:tcPr>
          <w:p w:rsidR="00DA433E" w:rsidRPr="007535D3" w:rsidRDefault="009E0F17" w:rsidP="00CA50D5">
            <w:pPr>
              <w:tabs>
                <w:tab w:val="left" w:pos="1155"/>
              </w:tabs>
            </w:pPr>
            <w:r>
              <w:t>5710</w:t>
            </w:r>
          </w:p>
        </w:tc>
      </w:tr>
    </w:tbl>
    <w:p w:rsidR="00312490" w:rsidRDefault="00312490" w:rsidP="009F02CA">
      <w:pPr>
        <w:tabs>
          <w:tab w:val="left" w:pos="1155"/>
        </w:tabs>
        <w:rPr>
          <w:sz w:val="28"/>
          <w:szCs w:val="28"/>
        </w:rPr>
      </w:pPr>
    </w:p>
    <w:p w:rsidR="00FA796D" w:rsidRDefault="00277626" w:rsidP="009F02CA">
      <w:pPr>
        <w:tabs>
          <w:tab w:val="left" w:pos="1155"/>
        </w:tabs>
      </w:pPr>
      <w:r>
        <w:t xml:space="preserve">Vermont’s electricity comes in large part from renewable resources, although the majority of Vermont’s energy is generated through Hydro-Quebec.  Additional sources of renewable energy in Vermont include several utility-owned commercial scale wind and solar farms, in-state hydro facilities and landfill and on-farm methane projects.  Although initial set-up costs for renewable energy generation systems can be high, these systems can save users money over the long term and reduce the consumption of fossil fuels, helping to protect our environment and reduce our reliance on centralized energy.  In Vermont, some of these energy sources are more readily available than others, and some are more cost-effective for the individual energy producer.  </w:t>
      </w:r>
    </w:p>
    <w:p w:rsidR="00277626" w:rsidRPr="00734B0A" w:rsidRDefault="00277626" w:rsidP="009F02CA">
      <w:pPr>
        <w:tabs>
          <w:tab w:val="left" w:pos="1155"/>
        </w:tabs>
        <w:rPr>
          <w:u w:val="single"/>
        </w:rPr>
      </w:pPr>
      <w:r w:rsidRPr="00277626">
        <w:t>Commercial scale renewable energy g</w:t>
      </w:r>
      <w:r>
        <w:t>e</w:t>
      </w:r>
      <w:r w:rsidRPr="00277626">
        <w:t>neration system</w:t>
      </w:r>
      <w:r>
        <w:t>s</w:t>
      </w:r>
      <w:r w:rsidRPr="00277626">
        <w:t xml:space="preserve"> are</w:t>
      </w:r>
      <w:r>
        <w:t xml:space="preserve"> a growing business in Vermont, increasing the percentage of locally generated power.  However, the energy generated commercially is deposited into the national grid system, which means that the power generated here may not be utilized locally.  Renewable energy generation systems are regulated through the State of Vermont, requiring a Certificate of Public Good from the Public Utility Commission.  State statute forbids the creation of land use regulations that prohibit renewable energy generation.</w:t>
      </w:r>
      <w:r w:rsidR="00734B0A">
        <w:t xml:space="preserve"> </w:t>
      </w:r>
      <w:r w:rsidR="002F297A">
        <w:rPr>
          <w:sz w:val="23"/>
          <w:szCs w:val="23"/>
        </w:rPr>
        <w:t xml:space="preserve">Distributed power generation facilities, such as hydropower dams, fossil fuel plants, and wind power or solar systems owned by utilities, are subject to review and approval by the Vermont Public Service Board (30 VSA §248). Under this law, prior to the construction of a generation facility, the Board must issue a Certificate of Public Good. A Section 248 review addresses environmental, economic, and social impacts associated with a particular project, similar to Act 250. In making its determination, the Board must give due consideration to the recommendations of municipal and regional planning commissions and their respective plans. Accordingly, it is appropriate that this Town Plan address these land uses and provide guidance to town officials, regulators, and utilities. </w:t>
      </w:r>
      <w:r w:rsidR="00734B0A">
        <w:t xml:space="preserve"> </w:t>
      </w:r>
      <w:r w:rsidR="00734B0A">
        <w:rPr>
          <w:u w:val="single"/>
        </w:rPr>
        <w:t>Act 174 established a new set of municipal and regional energy planning standards, which if met, allow those plans to carry greater weight – substantial deference- in the Section 248 siting process for energy generation.</w:t>
      </w:r>
    </w:p>
    <w:p w:rsidR="00277626" w:rsidRDefault="00277626" w:rsidP="009F02CA">
      <w:pPr>
        <w:tabs>
          <w:tab w:val="left" w:pos="1155"/>
        </w:tabs>
        <w:rPr>
          <w:u w:val="single"/>
        </w:rPr>
      </w:pPr>
      <w:r>
        <w:t xml:space="preserve">The town is concerned about plans for major development within Bradford and in neighboring towns.  These types of developments could threaten the environment and quality of life that Bradford residents value.  </w:t>
      </w:r>
      <w:r w:rsidRPr="00277626">
        <w:rPr>
          <w:strike/>
        </w:rPr>
        <w:t>The town would like to have the option to be represented at the Public Utility Commission as an interested and/or average person in any and all future plans before the Public Utility Commission.</w:t>
      </w:r>
      <w:r>
        <w:t xml:space="preserve">  </w:t>
      </w:r>
      <w:r w:rsidR="00734B0A">
        <w:rPr>
          <w:u w:val="single"/>
        </w:rPr>
        <w:t>By completing enhanced energy planning, and receiving a “determination of energy compliance,” Bradford will be given “substantial deference” in the Public Service Board’s review of whether and energy project meets the orderly development criterion in the Section 248 process.</w:t>
      </w:r>
    </w:p>
    <w:p w:rsidR="002F297A" w:rsidRPr="002F297A" w:rsidRDefault="002F297A" w:rsidP="002F297A">
      <w:pPr>
        <w:pStyle w:val="Default"/>
        <w:rPr>
          <w:rFonts w:asciiTheme="minorHAnsi" w:hAnsiTheme="minorHAnsi" w:cstheme="minorBidi"/>
          <w:color w:val="auto"/>
          <w:sz w:val="23"/>
          <w:szCs w:val="23"/>
        </w:rPr>
      </w:pPr>
      <w:r w:rsidRPr="002F297A">
        <w:rPr>
          <w:rFonts w:asciiTheme="minorHAnsi" w:hAnsiTheme="minorHAnsi" w:cstheme="minorBidi"/>
          <w:color w:val="auto"/>
          <w:sz w:val="23"/>
          <w:szCs w:val="23"/>
        </w:rPr>
        <w:t xml:space="preserve">For all commercial energy generation facilities, the following policies shall apply: </w:t>
      </w:r>
    </w:p>
    <w:p w:rsidR="002F297A" w:rsidRDefault="002F297A" w:rsidP="009A62A9">
      <w:pPr>
        <w:pStyle w:val="Default"/>
        <w:numPr>
          <w:ilvl w:val="0"/>
          <w:numId w:val="17"/>
        </w:numPr>
        <w:rPr>
          <w:rFonts w:asciiTheme="minorHAnsi" w:hAnsiTheme="minorHAnsi" w:cstheme="minorBidi"/>
          <w:color w:val="auto"/>
          <w:sz w:val="23"/>
          <w:szCs w:val="23"/>
        </w:rPr>
      </w:pPr>
      <w:r w:rsidRPr="002F297A">
        <w:rPr>
          <w:rFonts w:asciiTheme="minorHAnsi" w:hAnsiTheme="minorHAnsi" w:cstheme="minorBidi"/>
          <w:color w:val="auto"/>
          <w:sz w:val="23"/>
          <w:szCs w:val="23"/>
        </w:rPr>
        <w:t xml:space="preserve">Preferred Locations: New generation and transmission facilities shall be sited in locations that reinforce Bradford’s traditional patterns of growth - compact village centers surrounded by a rural countryside, including farm and forest land. </w:t>
      </w:r>
    </w:p>
    <w:p w:rsidR="009A62A9" w:rsidRDefault="002F297A" w:rsidP="009A62A9">
      <w:pPr>
        <w:pStyle w:val="Default"/>
        <w:numPr>
          <w:ilvl w:val="0"/>
          <w:numId w:val="17"/>
        </w:numPr>
        <w:rPr>
          <w:rFonts w:asciiTheme="minorHAnsi" w:hAnsiTheme="minorHAnsi" w:cstheme="minorBidi"/>
          <w:color w:val="auto"/>
          <w:sz w:val="23"/>
          <w:szCs w:val="23"/>
        </w:rPr>
      </w:pPr>
      <w:r w:rsidRPr="002F297A">
        <w:rPr>
          <w:rFonts w:asciiTheme="minorHAnsi" w:hAnsiTheme="minorHAnsi" w:cstheme="minorBidi"/>
          <w:color w:val="auto"/>
          <w:sz w:val="23"/>
          <w:szCs w:val="23"/>
        </w:rPr>
        <w:t xml:space="preserve">Prohibited Locations: Because of their distinctive natural, historic or scenic value, energy facility development shall be excluded from the following areas: </w:t>
      </w:r>
    </w:p>
    <w:p w:rsidR="009A62A9" w:rsidRDefault="002F297A" w:rsidP="009A62A9">
      <w:pPr>
        <w:pStyle w:val="Default"/>
        <w:numPr>
          <w:ilvl w:val="1"/>
          <w:numId w:val="17"/>
        </w:numPr>
        <w:rPr>
          <w:rFonts w:asciiTheme="minorHAnsi" w:hAnsiTheme="minorHAnsi" w:cstheme="minorBidi"/>
          <w:color w:val="auto"/>
          <w:sz w:val="23"/>
          <w:szCs w:val="23"/>
        </w:rPr>
      </w:pPr>
      <w:r w:rsidRPr="009A62A9">
        <w:rPr>
          <w:rFonts w:asciiTheme="minorHAnsi" w:hAnsiTheme="minorHAnsi" w:cstheme="minorBidi"/>
          <w:color w:val="auto"/>
          <w:sz w:val="23"/>
          <w:szCs w:val="23"/>
        </w:rPr>
        <w:t xml:space="preserve">Floodways shown on FEMA Flood Insurance Rate Maps; </w:t>
      </w:r>
    </w:p>
    <w:p w:rsidR="009A62A9" w:rsidRDefault="002F297A" w:rsidP="009A62A9">
      <w:pPr>
        <w:pStyle w:val="Default"/>
        <w:numPr>
          <w:ilvl w:val="1"/>
          <w:numId w:val="17"/>
        </w:numPr>
        <w:rPr>
          <w:rFonts w:asciiTheme="minorHAnsi" w:hAnsiTheme="minorHAnsi" w:cstheme="minorBidi"/>
          <w:color w:val="auto"/>
          <w:sz w:val="23"/>
          <w:szCs w:val="23"/>
        </w:rPr>
      </w:pPr>
      <w:r w:rsidRPr="009A62A9">
        <w:rPr>
          <w:rFonts w:asciiTheme="minorHAnsi" w:hAnsiTheme="minorHAnsi" w:cstheme="minorBidi"/>
          <w:color w:val="auto"/>
          <w:sz w:val="23"/>
          <w:szCs w:val="23"/>
        </w:rPr>
        <w:lastRenderedPageBreak/>
        <w:t xml:space="preserve">Fluvial erosion hazard areas shown on Fluvial Erosion Hazard Area maps; </w:t>
      </w:r>
    </w:p>
    <w:p w:rsidR="009A62A9" w:rsidRDefault="002F297A" w:rsidP="009A62A9">
      <w:pPr>
        <w:pStyle w:val="Default"/>
        <w:numPr>
          <w:ilvl w:val="1"/>
          <w:numId w:val="17"/>
        </w:numPr>
        <w:rPr>
          <w:rFonts w:asciiTheme="minorHAnsi" w:hAnsiTheme="minorHAnsi" w:cstheme="minorBidi"/>
          <w:color w:val="auto"/>
          <w:sz w:val="23"/>
          <w:szCs w:val="23"/>
        </w:rPr>
      </w:pPr>
      <w:r w:rsidRPr="009A62A9">
        <w:rPr>
          <w:rFonts w:asciiTheme="minorHAnsi" w:hAnsiTheme="minorHAnsi" w:cstheme="minorBidi"/>
          <w:color w:val="auto"/>
          <w:sz w:val="23"/>
          <w:szCs w:val="23"/>
        </w:rPr>
        <w:t xml:space="preserve">Wetlands as indicated on Vermont State Wetlands Inventory maps or identified through site analysis; and </w:t>
      </w:r>
    </w:p>
    <w:p w:rsidR="009A62A9" w:rsidRDefault="002F297A" w:rsidP="009A62A9">
      <w:pPr>
        <w:pStyle w:val="Default"/>
        <w:numPr>
          <w:ilvl w:val="1"/>
          <w:numId w:val="17"/>
        </w:numPr>
        <w:rPr>
          <w:rFonts w:asciiTheme="minorHAnsi" w:hAnsiTheme="minorHAnsi" w:cstheme="minorBidi"/>
          <w:color w:val="auto"/>
          <w:sz w:val="23"/>
          <w:szCs w:val="23"/>
        </w:rPr>
      </w:pPr>
      <w:r w:rsidRPr="009A62A9">
        <w:rPr>
          <w:rFonts w:asciiTheme="minorHAnsi" w:hAnsiTheme="minorHAnsi" w:cstheme="minorBidi"/>
          <w:color w:val="auto"/>
          <w:sz w:val="23"/>
          <w:szCs w:val="23"/>
        </w:rPr>
        <w:t xml:space="preserve">Rare, threatened or endangered species habitat or communities. </w:t>
      </w:r>
    </w:p>
    <w:p w:rsidR="009A62A9" w:rsidRDefault="002F297A" w:rsidP="009A62A9">
      <w:pPr>
        <w:pStyle w:val="Default"/>
        <w:numPr>
          <w:ilvl w:val="1"/>
          <w:numId w:val="17"/>
        </w:numPr>
        <w:rPr>
          <w:rFonts w:asciiTheme="minorHAnsi" w:hAnsiTheme="minorHAnsi" w:cstheme="minorBidi"/>
          <w:color w:val="auto"/>
          <w:sz w:val="23"/>
          <w:szCs w:val="23"/>
        </w:rPr>
      </w:pPr>
      <w:r w:rsidRPr="009A62A9">
        <w:rPr>
          <w:rFonts w:asciiTheme="minorHAnsi" w:hAnsiTheme="minorHAnsi" w:cstheme="minorBidi"/>
          <w:color w:val="auto"/>
          <w:sz w:val="23"/>
          <w:szCs w:val="23"/>
        </w:rPr>
        <w:t xml:space="preserve">The Bradford Town Forests </w:t>
      </w:r>
    </w:p>
    <w:p w:rsidR="009A62A9" w:rsidRDefault="002F297A" w:rsidP="009A62A9">
      <w:pPr>
        <w:pStyle w:val="Default"/>
        <w:numPr>
          <w:ilvl w:val="0"/>
          <w:numId w:val="17"/>
        </w:numPr>
        <w:rPr>
          <w:rFonts w:asciiTheme="minorHAnsi" w:hAnsiTheme="minorHAnsi" w:cstheme="minorBidi"/>
          <w:color w:val="auto"/>
          <w:sz w:val="23"/>
          <w:szCs w:val="23"/>
        </w:rPr>
      </w:pPr>
      <w:r w:rsidRPr="009A62A9">
        <w:rPr>
          <w:rFonts w:asciiTheme="minorHAnsi" w:hAnsiTheme="minorHAnsi" w:cstheme="minorBidi"/>
          <w:color w:val="auto"/>
          <w:sz w:val="23"/>
          <w:szCs w:val="23"/>
        </w:rPr>
        <w:t xml:space="preserve">Significant Areas: All new generation, transmission, and distribution facilities shall be sited and designed to avoid or, if no other reasonable alternative exists, to otherwise minimize and mitigate adverse impacts to the following: </w:t>
      </w:r>
    </w:p>
    <w:p w:rsidR="009A62A9" w:rsidRDefault="002F297A" w:rsidP="009A62A9">
      <w:pPr>
        <w:pStyle w:val="Default"/>
        <w:numPr>
          <w:ilvl w:val="1"/>
          <w:numId w:val="17"/>
        </w:numPr>
        <w:rPr>
          <w:rFonts w:asciiTheme="minorHAnsi" w:hAnsiTheme="minorHAnsi" w:cstheme="minorBidi"/>
          <w:color w:val="auto"/>
          <w:sz w:val="23"/>
          <w:szCs w:val="23"/>
        </w:rPr>
      </w:pPr>
      <w:r w:rsidRPr="009A62A9">
        <w:rPr>
          <w:rFonts w:asciiTheme="minorHAnsi" w:hAnsiTheme="minorHAnsi" w:cstheme="minorBidi"/>
          <w:color w:val="auto"/>
          <w:sz w:val="23"/>
          <w:szCs w:val="23"/>
        </w:rPr>
        <w:t xml:space="preserve">Historic Areas, landmarks, sites and structures listed, or eligible for listing, on state or national registers. </w:t>
      </w:r>
    </w:p>
    <w:p w:rsidR="009A62A9" w:rsidRDefault="002F297A" w:rsidP="009A62A9">
      <w:pPr>
        <w:pStyle w:val="Default"/>
        <w:numPr>
          <w:ilvl w:val="1"/>
          <w:numId w:val="17"/>
        </w:numPr>
        <w:rPr>
          <w:rFonts w:asciiTheme="minorHAnsi" w:hAnsiTheme="minorHAnsi" w:cstheme="minorBidi"/>
          <w:color w:val="auto"/>
          <w:sz w:val="23"/>
          <w:szCs w:val="23"/>
        </w:rPr>
      </w:pPr>
      <w:r w:rsidRPr="009A62A9">
        <w:rPr>
          <w:rFonts w:asciiTheme="minorHAnsi" w:hAnsiTheme="minorHAnsi" w:cstheme="minorBidi"/>
          <w:color w:val="auto"/>
          <w:sz w:val="23"/>
          <w:szCs w:val="23"/>
        </w:rPr>
        <w:t xml:space="preserve">Public parks and recreation areas, including state and municipal parks, forests and trail networks. </w:t>
      </w:r>
    </w:p>
    <w:p w:rsidR="009A62A9" w:rsidRDefault="002F297A" w:rsidP="009A62A9">
      <w:pPr>
        <w:pStyle w:val="Default"/>
        <w:numPr>
          <w:ilvl w:val="1"/>
          <w:numId w:val="17"/>
        </w:numPr>
        <w:rPr>
          <w:rFonts w:asciiTheme="minorHAnsi" w:hAnsiTheme="minorHAnsi" w:cstheme="minorBidi"/>
          <w:color w:val="auto"/>
          <w:sz w:val="23"/>
          <w:szCs w:val="23"/>
        </w:rPr>
      </w:pPr>
      <w:r w:rsidRPr="009A62A9">
        <w:rPr>
          <w:rFonts w:asciiTheme="minorHAnsi" w:hAnsiTheme="minorHAnsi" w:cstheme="minorBidi"/>
          <w:color w:val="auto"/>
          <w:sz w:val="23"/>
          <w:szCs w:val="23"/>
        </w:rPr>
        <w:t xml:space="preserve">Municipally designated scenic roads and viewsheds (see Natural Resources). </w:t>
      </w:r>
    </w:p>
    <w:p w:rsidR="009A62A9" w:rsidRDefault="002F297A" w:rsidP="009A62A9">
      <w:pPr>
        <w:pStyle w:val="Default"/>
        <w:numPr>
          <w:ilvl w:val="1"/>
          <w:numId w:val="17"/>
        </w:numPr>
        <w:rPr>
          <w:rFonts w:asciiTheme="minorHAnsi" w:hAnsiTheme="minorHAnsi" w:cstheme="minorBidi"/>
          <w:color w:val="auto"/>
          <w:sz w:val="23"/>
          <w:szCs w:val="23"/>
        </w:rPr>
      </w:pPr>
      <w:r w:rsidRPr="009A62A9">
        <w:rPr>
          <w:rFonts w:asciiTheme="minorHAnsi" w:hAnsiTheme="minorHAnsi" w:cstheme="minorBidi"/>
          <w:color w:val="auto"/>
          <w:sz w:val="23"/>
          <w:szCs w:val="23"/>
        </w:rPr>
        <w:t>Special flood hazard areas identified by National Flood Insurance Program maps.</w:t>
      </w:r>
    </w:p>
    <w:p w:rsidR="009A62A9" w:rsidRDefault="002F297A" w:rsidP="009A62A9">
      <w:pPr>
        <w:pStyle w:val="Default"/>
        <w:numPr>
          <w:ilvl w:val="1"/>
          <w:numId w:val="17"/>
        </w:numPr>
        <w:rPr>
          <w:rFonts w:asciiTheme="minorHAnsi" w:hAnsiTheme="minorHAnsi" w:cstheme="minorBidi"/>
          <w:color w:val="auto"/>
          <w:sz w:val="23"/>
          <w:szCs w:val="23"/>
        </w:rPr>
      </w:pPr>
      <w:r w:rsidRPr="009A62A9">
        <w:rPr>
          <w:rFonts w:asciiTheme="minorHAnsi" w:hAnsiTheme="minorHAnsi" w:cstheme="minorBidi"/>
          <w:color w:val="auto"/>
          <w:sz w:val="23"/>
          <w:szCs w:val="23"/>
        </w:rPr>
        <w:t xml:space="preserve">Public and private drinking water supplies, including mapped source protection areas. </w:t>
      </w:r>
    </w:p>
    <w:p w:rsidR="009A62A9" w:rsidRDefault="002F297A" w:rsidP="009A62A9">
      <w:pPr>
        <w:pStyle w:val="Default"/>
        <w:numPr>
          <w:ilvl w:val="1"/>
          <w:numId w:val="17"/>
        </w:numPr>
        <w:rPr>
          <w:rFonts w:asciiTheme="minorHAnsi" w:hAnsiTheme="minorHAnsi" w:cstheme="minorBidi"/>
          <w:color w:val="auto"/>
          <w:sz w:val="23"/>
          <w:szCs w:val="23"/>
        </w:rPr>
      </w:pPr>
      <w:r w:rsidRPr="009A62A9">
        <w:rPr>
          <w:rFonts w:asciiTheme="minorHAnsi" w:hAnsiTheme="minorHAnsi" w:cstheme="minorBidi"/>
          <w:color w:val="auto"/>
          <w:sz w:val="23"/>
          <w:szCs w:val="23"/>
        </w:rPr>
        <w:t xml:space="preserve">Necessary wildlife habitat identified by the state or through analysis, including core habitat areas, migration and travel corridors. </w:t>
      </w:r>
    </w:p>
    <w:p w:rsidR="009A62A9" w:rsidRDefault="002F297A" w:rsidP="009A62A9">
      <w:pPr>
        <w:pStyle w:val="Default"/>
        <w:numPr>
          <w:ilvl w:val="0"/>
          <w:numId w:val="17"/>
        </w:numPr>
        <w:rPr>
          <w:rFonts w:asciiTheme="minorHAnsi" w:hAnsiTheme="minorHAnsi" w:cstheme="minorBidi"/>
          <w:color w:val="auto"/>
          <w:sz w:val="23"/>
          <w:szCs w:val="23"/>
        </w:rPr>
      </w:pPr>
      <w:r w:rsidRPr="009A62A9">
        <w:rPr>
          <w:rFonts w:asciiTheme="minorHAnsi" w:hAnsiTheme="minorHAnsi" w:cstheme="minorBidi"/>
          <w:color w:val="auto"/>
          <w:sz w:val="23"/>
          <w:szCs w:val="23"/>
        </w:rPr>
        <w:t xml:space="preserve">Natural Resource Protection: New generation and transmission facilities must be sited to avoid the fragmentation of, and undue adverse impacts to, the town’s working landscape, including large tracts of undeveloped forestland and core forest habitat areas, open farm land, and primary agricultural soils mapped by the U.S. Natural Resource Conservation Service. </w:t>
      </w:r>
    </w:p>
    <w:p w:rsidR="009A62A9" w:rsidRDefault="002F297A" w:rsidP="009A62A9">
      <w:pPr>
        <w:pStyle w:val="Default"/>
        <w:numPr>
          <w:ilvl w:val="0"/>
          <w:numId w:val="17"/>
        </w:numPr>
        <w:rPr>
          <w:rFonts w:asciiTheme="minorHAnsi" w:hAnsiTheme="minorHAnsi" w:cstheme="minorBidi"/>
          <w:color w:val="auto"/>
          <w:sz w:val="23"/>
          <w:szCs w:val="23"/>
        </w:rPr>
      </w:pPr>
      <w:r w:rsidRPr="009A62A9">
        <w:rPr>
          <w:rFonts w:asciiTheme="minorHAnsi" w:hAnsiTheme="minorHAnsi" w:cstheme="minorBidi"/>
          <w:color w:val="auto"/>
          <w:sz w:val="23"/>
          <w:szCs w:val="23"/>
        </w:rPr>
        <w:t xml:space="preserve"> Protection of Wildlife: Designers must gather information about natural and wildlife habitats that exist in the project area and take measures to avoid any undue adverse impact on the resource. Consideration shall be given to the effects of the project on: natural communities, wildlife residing in the area and their migratory routes; the impacts of human activities at or near habitat areas; and any loss of vegetative cover or food sources for critical habitats. </w:t>
      </w:r>
    </w:p>
    <w:p w:rsidR="002F297A" w:rsidRPr="009A62A9" w:rsidRDefault="002F297A" w:rsidP="009A62A9">
      <w:pPr>
        <w:pStyle w:val="Default"/>
        <w:numPr>
          <w:ilvl w:val="0"/>
          <w:numId w:val="17"/>
        </w:numPr>
        <w:rPr>
          <w:rFonts w:asciiTheme="minorHAnsi" w:hAnsiTheme="minorHAnsi" w:cstheme="minorBidi"/>
          <w:color w:val="auto"/>
          <w:sz w:val="23"/>
          <w:szCs w:val="23"/>
        </w:rPr>
      </w:pPr>
      <w:r w:rsidRPr="009A62A9">
        <w:rPr>
          <w:rFonts w:asciiTheme="minorHAnsi" w:hAnsiTheme="minorHAnsi" w:cstheme="minorBidi"/>
          <w:color w:val="auto"/>
          <w:sz w:val="23"/>
          <w:szCs w:val="23"/>
        </w:rPr>
        <w:t xml:space="preserve">Site Selection: Site selection should not be limited to generation facilities alone; other elements of the facility need to be considered as well. These include access roads, site clearing, onsite power lines, substations, lighting, and off-site power lines. Development of these elements shall be done in such a way as to minimize negative impacts. Site clearing and roadways can have greater visual impacts than the energy generation facility itself. In planning for facilities, designers should take steps to mitigate the project’s impact on natural, scenic and historic resources and improve its harmony with the surroundings. </w:t>
      </w:r>
    </w:p>
    <w:p w:rsidR="00CA4F16" w:rsidRDefault="00734B0A" w:rsidP="00CA4F16">
      <w:pPr>
        <w:rPr>
          <w:u w:val="single"/>
        </w:rPr>
      </w:pPr>
      <w:r>
        <w:rPr>
          <w:u w:val="single"/>
        </w:rPr>
        <w:t>Vermont’s net-metering laws were updated in Act 99, Rule 5.100, effective January 1, 2017.  This rule established the standards and procedures governing application for, and issuance or revocation of a certificate of public good for net metering systems.</w:t>
      </w:r>
      <w:r w:rsidR="00CA4F16">
        <w:rPr>
          <w:u w:val="single"/>
        </w:rPr>
        <w:t xml:space="preserve">  Net metering systems means a plant for generation of electricity that is of no more than 500 kW capacity.  Rule 5.100 defines preferred locations for solar generation facilities, giving financial benefits.  These sites are: </w:t>
      </w:r>
    </w:p>
    <w:p w:rsidR="00CA4F16" w:rsidRPr="002F297A" w:rsidRDefault="00CA4F16" w:rsidP="002F297A">
      <w:pPr>
        <w:pStyle w:val="ListParagraph"/>
        <w:numPr>
          <w:ilvl w:val="0"/>
          <w:numId w:val="15"/>
        </w:numPr>
        <w:rPr>
          <w:rFonts w:asciiTheme="minorHAnsi" w:eastAsiaTheme="minorHAnsi" w:hAnsiTheme="minorHAnsi" w:cstheme="minorBidi"/>
          <w:sz w:val="22"/>
          <w:szCs w:val="22"/>
          <w:u w:val="single"/>
        </w:rPr>
      </w:pPr>
      <w:r w:rsidRPr="002F297A">
        <w:rPr>
          <w:rFonts w:asciiTheme="minorHAnsi" w:eastAsiaTheme="minorHAnsi" w:hAnsiTheme="minorHAnsi" w:cstheme="minorBidi"/>
          <w:sz w:val="22"/>
          <w:szCs w:val="22"/>
          <w:u w:val="single"/>
        </w:rPr>
        <w:t xml:space="preserve">A new or existing structure </w:t>
      </w:r>
    </w:p>
    <w:p w:rsidR="00CA4F16" w:rsidRPr="002F297A" w:rsidRDefault="00CA4F16" w:rsidP="002F297A">
      <w:pPr>
        <w:pStyle w:val="ListParagraph"/>
        <w:numPr>
          <w:ilvl w:val="0"/>
          <w:numId w:val="14"/>
        </w:numPr>
        <w:rPr>
          <w:rFonts w:asciiTheme="minorHAnsi" w:eastAsiaTheme="minorHAnsi" w:hAnsiTheme="minorHAnsi" w:cstheme="minorBidi"/>
          <w:sz w:val="22"/>
          <w:szCs w:val="22"/>
          <w:u w:val="single"/>
        </w:rPr>
      </w:pPr>
      <w:r w:rsidRPr="002F297A">
        <w:rPr>
          <w:rFonts w:asciiTheme="minorHAnsi" w:eastAsiaTheme="minorHAnsi" w:hAnsiTheme="minorHAnsi" w:cstheme="minorBidi"/>
          <w:sz w:val="22"/>
          <w:szCs w:val="22"/>
          <w:u w:val="single"/>
        </w:rPr>
        <w:t>A parking lot canopy over a paved parking lot</w:t>
      </w:r>
    </w:p>
    <w:p w:rsidR="00CA4F16" w:rsidRPr="002F297A" w:rsidRDefault="00CA4F16" w:rsidP="002F297A">
      <w:pPr>
        <w:pStyle w:val="ListParagraph"/>
        <w:numPr>
          <w:ilvl w:val="0"/>
          <w:numId w:val="14"/>
        </w:numPr>
        <w:rPr>
          <w:rFonts w:asciiTheme="minorHAnsi" w:eastAsiaTheme="minorHAnsi" w:hAnsiTheme="minorHAnsi" w:cstheme="minorBidi"/>
          <w:sz w:val="22"/>
          <w:szCs w:val="22"/>
          <w:u w:val="single"/>
        </w:rPr>
      </w:pPr>
      <w:r w:rsidRPr="002F297A">
        <w:rPr>
          <w:rFonts w:asciiTheme="minorHAnsi" w:eastAsiaTheme="minorHAnsi" w:hAnsiTheme="minorHAnsi" w:cstheme="minorBidi"/>
          <w:sz w:val="22"/>
          <w:szCs w:val="22"/>
          <w:u w:val="single"/>
        </w:rPr>
        <w:t xml:space="preserve">A tract previously developed on which a structure or impervious surface was lawfully in existence </w:t>
      </w:r>
    </w:p>
    <w:p w:rsidR="00CA4F16" w:rsidRPr="002F297A" w:rsidRDefault="00CA4F16" w:rsidP="002F297A">
      <w:pPr>
        <w:pStyle w:val="ListParagraph"/>
        <w:numPr>
          <w:ilvl w:val="0"/>
          <w:numId w:val="14"/>
        </w:numPr>
        <w:rPr>
          <w:rFonts w:asciiTheme="minorHAnsi" w:eastAsiaTheme="minorHAnsi" w:hAnsiTheme="minorHAnsi" w:cstheme="minorBidi"/>
          <w:sz w:val="22"/>
          <w:szCs w:val="22"/>
          <w:u w:val="single"/>
        </w:rPr>
      </w:pPr>
      <w:r w:rsidRPr="002F297A">
        <w:rPr>
          <w:rFonts w:asciiTheme="minorHAnsi" w:eastAsiaTheme="minorHAnsi" w:hAnsiTheme="minorHAnsi" w:cstheme="minorBidi"/>
          <w:sz w:val="22"/>
          <w:szCs w:val="22"/>
          <w:u w:val="single"/>
        </w:rPr>
        <w:lastRenderedPageBreak/>
        <w:t>Land certified by the Secretary of Natural Resources to be a brownfield site</w:t>
      </w:r>
    </w:p>
    <w:p w:rsidR="00CA4F16" w:rsidRPr="002F297A" w:rsidRDefault="00CA4F16" w:rsidP="002F297A">
      <w:pPr>
        <w:pStyle w:val="ListParagraph"/>
        <w:numPr>
          <w:ilvl w:val="0"/>
          <w:numId w:val="14"/>
        </w:numPr>
        <w:rPr>
          <w:rFonts w:asciiTheme="minorHAnsi" w:eastAsiaTheme="minorHAnsi" w:hAnsiTheme="minorHAnsi" w:cstheme="minorBidi"/>
          <w:sz w:val="22"/>
          <w:szCs w:val="22"/>
          <w:u w:val="single"/>
        </w:rPr>
      </w:pPr>
      <w:r w:rsidRPr="002F297A">
        <w:rPr>
          <w:rFonts w:asciiTheme="minorHAnsi" w:eastAsiaTheme="minorHAnsi" w:hAnsiTheme="minorHAnsi" w:cstheme="minorBidi"/>
          <w:sz w:val="22"/>
          <w:szCs w:val="22"/>
          <w:u w:val="single"/>
        </w:rPr>
        <w:t xml:space="preserve">A sanitary landfill </w:t>
      </w:r>
    </w:p>
    <w:p w:rsidR="00CA4F16" w:rsidRPr="002F297A" w:rsidRDefault="00CA4F16" w:rsidP="002F297A">
      <w:pPr>
        <w:pStyle w:val="ListParagraph"/>
        <w:numPr>
          <w:ilvl w:val="0"/>
          <w:numId w:val="14"/>
        </w:numPr>
        <w:rPr>
          <w:rFonts w:asciiTheme="minorHAnsi" w:eastAsiaTheme="minorHAnsi" w:hAnsiTheme="minorHAnsi" w:cstheme="minorBidi"/>
          <w:sz w:val="22"/>
          <w:szCs w:val="22"/>
          <w:u w:val="single"/>
        </w:rPr>
      </w:pPr>
      <w:r w:rsidRPr="002F297A">
        <w:rPr>
          <w:rFonts w:asciiTheme="minorHAnsi" w:eastAsiaTheme="minorHAnsi" w:hAnsiTheme="minorHAnsi" w:cstheme="minorBidi"/>
          <w:sz w:val="22"/>
          <w:szCs w:val="22"/>
          <w:u w:val="single"/>
        </w:rPr>
        <w:t xml:space="preserve">The disturbed portion of a gravel pit, quarry, or similar site </w:t>
      </w:r>
    </w:p>
    <w:p w:rsidR="00CA4F16" w:rsidRPr="002F297A" w:rsidRDefault="00CA4F16" w:rsidP="002F297A">
      <w:pPr>
        <w:pStyle w:val="ListParagraph"/>
        <w:numPr>
          <w:ilvl w:val="0"/>
          <w:numId w:val="14"/>
        </w:numPr>
        <w:rPr>
          <w:rFonts w:asciiTheme="minorHAnsi" w:eastAsiaTheme="minorHAnsi" w:hAnsiTheme="minorHAnsi" w:cstheme="minorBidi"/>
          <w:sz w:val="22"/>
          <w:szCs w:val="22"/>
          <w:u w:val="single"/>
        </w:rPr>
      </w:pPr>
      <w:r w:rsidRPr="002F297A">
        <w:rPr>
          <w:rFonts w:asciiTheme="minorHAnsi" w:eastAsiaTheme="minorHAnsi" w:hAnsiTheme="minorHAnsi" w:cstheme="minorBidi"/>
          <w:sz w:val="22"/>
          <w:szCs w:val="22"/>
          <w:u w:val="single"/>
        </w:rPr>
        <w:t xml:space="preserve">A specific location designated in a duly adopted municipal plan </w:t>
      </w:r>
    </w:p>
    <w:p w:rsidR="00CA4F16" w:rsidRPr="002F297A" w:rsidRDefault="00CA4F16" w:rsidP="002F297A">
      <w:pPr>
        <w:pStyle w:val="ListParagraph"/>
        <w:numPr>
          <w:ilvl w:val="0"/>
          <w:numId w:val="14"/>
        </w:numPr>
        <w:rPr>
          <w:rFonts w:asciiTheme="minorHAnsi" w:eastAsiaTheme="minorHAnsi" w:hAnsiTheme="minorHAnsi" w:cstheme="minorBidi"/>
          <w:sz w:val="22"/>
          <w:szCs w:val="22"/>
          <w:u w:val="single"/>
        </w:rPr>
      </w:pPr>
      <w:r w:rsidRPr="002F297A">
        <w:rPr>
          <w:rFonts w:asciiTheme="minorHAnsi" w:eastAsiaTheme="minorHAnsi" w:hAnsiTheme="minorHAnsi" w:cstheme="minorBidi"/>
          <w:sz w:val="22"/>
          <w:szCs w:val="22"/>
          <w:u w:val="single"/>
        </w:rPr>
        <w:t xml:space="preserve">A site listed on the National Priorities List (NPL) </w:t>
      </w:r>
    </w:p>
    <w:p w:rsidR="00CA4F16" w:rsidRPr="002F297A" w:rsidRDefault="00CA4F16" w:rsidP="002F297A">
      <w:pPr>
        <w:pStyle w:val="ListParagraph"/>
        <w:numPr>
          <w:ilvl w:val="0"/>
          <w:numId w:val="14"/>
        </w:numPr>
        <w:rPr>
          <w:rFonts w:asciiTheme="minorHAnsi" w:eastAsiaTheme="minorHAnsi" w:hAnsiTheme="minorHAnsi" w:cstheme="minorBidi"/>
          <w:sz w:val="22"/>
          <w:szCs w:val="22"/>
          <w:u w:val="single"/>
        </w:rPr>
      </w:pPr>
      <w:r w:rsidRPr="002F297A">
        <w:rPr>
          <w:rFonts w:asciiTheme="minorHAnsi" w:eastAsiaTheme="minorHAnsi" w:hAnsiTheme="minorHAnsi" w:cstheme="minorBidi"/>
          <w:sz w:val="22"/>
          <w:szCs w:val="22"/>
          <w:u w:val="single"/>
        </w:rPr>
        <w:t>On the same parcel as, or directly adjacent to, a customer that has been allocated more than 50 percent of the net-metering system’s electrical output. The allocation to the host customer may not be less than 50 percent during each of the first 10 years of the net-metering system’s operation.</w:t>
      </w:r>
    </w:p>
    <w:p w:rsidR="00CA4F16" w:rsidRDefault="00CA4F16" w:rsidP="00CA4F16">
      <w:pPr>
        <w:tabs>
          <w:tab w:val="left" w:pos="1155"/>
        </w:tabs>
        <w:spacing w:after="0" w:line="240" w:lineRule="auto"/>
        <w:rPr>
          <w:u w:val="single"/>
        </w:rPr>
      </w:pPr>
    </w:p>
    <w:p w:rsidR="00CA4F16" w:rsidRDefault="00CA4F16" w:rsidP="00CA4F16">
      <w:pPr>
        <w:tabs>
          <w:tab w:val="left" w:pos="1155"/>
        </w:tabs>
        <w:spacing w:after="0" w:line="240" w:lineRule="auto"/>
      </w:pPr>
      <w:r w:rsidRPr="00CA4F16">
        <w:t xml:space="preserve">The Town of Bradford supports responsibly sited and developed renewable energy projects within its boundaries.  It recognizes that to maximize profits, developers desire projects to be located in close proximity to electric power lines capable of transmitting the load proposed to be generated and easy access from major transportation networks for construction.  However, the town desires to maintain the working landscape, adopted conservation and habitat protection measures and scenic rural views important to its economy and rural cultural aesthetics.  Not all commercial or community scale solar projects proposed can meet this standard.  Projects must meet the following community standards in order to be considered “orderly development” supported by this </w:t>
      </w:r>
      <w:r>
        <w:t>plan and in order to not unduly impact the aesthetics of the rural countryside this plan intends to protect.  In particular, these standards should be considered when the development falls under Section 248 of Title 30 of the Vermont Statutes.</w:t>
      </w:r>
    </w:p>
    <w:p w:rsidR="00CA4F16" w:rsidRDefault="00CA4F16" w:rsidP="00CA4F16">
      <w:pPr>
        <w:tabs>
          <w:tab w:val="left" w:pos="1155"/>
        </w:tabs>
        <w:spacing w:after="0" w:line="240" w:lineRule="auto"/>
      </w:pPr>
    </w:p>
    <w:p w:rsidR="00CA4F16" w:rsidRPr="001060EC" w:rsidRDefault="00CA4F16" w:rsidP="001060EC">
      <w:pPr>
        <w:pStyle w:val="Default"/>
        <w:numPr>
          <w:ilvl w:val="0"/>
          <w:numId w:val="10"/>
        </w:numPr>
        <w:rPr>
          <w:rFonts w:asciiTheme="minorHAnsi" w:hAnsiTheme="minorHAnsi" w:cstheme="minorBidi"/>
          <w:color w:val="auto"/>
          <w:sz w:val="22"/>
          <w:szCs w:val="22"/>
        </w:rPr>
      </w:pPr>
      <w:r w:rsidRPr="001060EC">
        <w:rPr>
          <w:rFonts w:asciiTheme="minorHAnsi" w:hAnsiTheme="minorHAnsi" w:cstheme="minorBidi"/>
          <w:color w:val="auto"/>
          <w:sz w:val="22"/>
          <w:szCs w:val="22"/>
        </w:rPr>
        <w:t xml:space="preserve">Community Standards </w:t>
      </w:r>
    </w:p>
    <w:p w:rsidR="001060EC" w:rsidRDefault="00CA4F16" w:rsidP="001060EC">
      <w:pPr>
        <w:pStyle w:val="Default"/>
        <w:numPr>
          <w:ilvl w:val="1"/>
          <w:numId w:val="10"/>
        </w:numPr>
        <w:rPr>
          <w:rFonts w:asciiTheme="minorHAnsi" w:hAnsiTheme="minorHAnsi" w:cstheme="minorBidi"/>
          <w:color w:val="auto"/>
          <w:sz w:val="22"/>
          <w:szCs w:val="22"/>
        </w:rPr>
      </w:pPr>
      <w:r w:rsidRPr="001060EC">
        <w:rPr>
          <w:rFonts w:asciiTheme="minorHAnsi" w:hAnsiTheme="minorHAnsi" w:cstheme="minorBidi"/>
          <w:color w:val="auto"/>
          <w:sz w:val="22"/>
          <w:szCs w:val="22"/>
        </w:rPr>
        <w:t xml:space="preserve">Siting: Where a project is placed on the landscape constitutes the most critical element in the aesthetic siting of a project. Poor siting cannot be adequately mitigated. Accordingly, all renewable energy projects must evaluate and address the proposed site’s aesthetic impact on the surrounding landscape. </w:t>
      </w:r>
    </w:p>
    <w:p w:rsidR="001060EC" w:rsidRDefault="00CA4F16" w:rsidP="001060EC">
      <w:pPr>
        <w:pStyle w:val="Default"/>
        <w:numPr>
          <w:ilvl w:val="2"/>
          <w:numId w:val="10"/>
        </w:numPr>
        <w:rPr>
          <w:rFonts w:asciiTheme="minorHAnsi" w:hAnsiTheme="minorHAnsi" w:cstheme="minorBidi"/>
          <w:color w:val="auto"/>
          <w:sz w:val="22"/>
          <w:szCs w:val="22"/>
        </w:rPr>
      </w:pPr>
      <w:r w:rsidRPr="001060EC">
        <w:rPr>
          <w:rFonts w:asciiTheme="minorHAnsi" w:hAnsiTheme="minorHAnsi" w:cstheme="minorBidi"/>
          <w:color w:val="auto"/>
          <w:sz w:val="22"/>
          <w:szCs w:val="22"/>
        </w:rPr>
        <w:t xml:space="preserve">Good sites have one or more of the following characteristics: </w:t>
      </w:r>
    </w:p>
    <w:p w:rsidR="001060EC" w:rsidRDefault="00CA4F16" w:rsidP="001060EC">
      <w:pPr>
        <w:pStyle w:val="Default"/>
        <w:numPr>
          <w:ilvl w:val="3"/>
          <w:numId w:val="10"/>
        </w:numPr>
        <w:rPr>
          <w:rFonts w:asciiTheme="minorHAnsi" w:hAnsiTheme="minorHAnsi" w:cstheme="minorBidi"/>
          <w:color w:val="auto"/>
          <w:sz w:val="22"/>
          <w:szCs w:val="22"/>
        </w:rPr>
      </w:pPr>
      <w:r w:rsidRPr="001060EC">
        <w:rPr>
          <w:rFonts w:asciiTheme="minorHAnsi" w:hAnsiTheme="minorHAnsi" w:cstheme="minorBidi"/>
          <w:color w:val="auto"/>
          <w:sz w:val="22"/>
          <w:szCs w:val="22"/>
        </w:rPr>
        <w:t xml:space="preserve">Roof-mounted systems (except in the historic Area) </w:t>
      </w:r>
    </w:p>
    <w:p w:rsidR="001060EC" w:rsidRDefault="00CA4F16" w:rsidP="001060EC">
      <w:pPr>
        <w:pStyle w:val="Default"/>
        <w:numPr>
          <w:ilvl w:val="3"/>
          <w:numId w:val="10"/>
        </w:numPr>
        <w:rPr>
          <w:rFonts w:asciiTheme="minorHAnsi" w:hAnsiTheme="minorHAnsi" w:cstheme="minorBidi"/>
          <w:color w:val="auto"/>
          <w:sz w:val="22"/>
          <w:szCs w:val="22"/>
        </w:rPr>
      </w:pPr>
      <w:r w:rsidRPr="001060EC">
        <w:rPr>
          <w:rFonts w:asciiTheme="minorHAnsi" w:hAnsiTheme="minorHAnsi" w:cstheme="minorBidi"/>
          <w:color w:val="auto"/>
          <w:sz w:val="22"/>
          <w:szCs w:val="22"/>
        </w:rPr>
        <w:t xml:space="preserve">Systems located in close proximity to existing larger scale, commercial, industrial or agricultural buildings. </w:t>
      </w:r>
    </w:p>
    <w:p w:rsidR="001060EC" w:rsidRDefault="00CA4F16" w:rsidP="001060EC">
      <w:pPr>
        <w:pStyle w:val="Default"/>
        <w:numPr>
          <w:ilvl w:val="3"/>
          <w:numId w:val="10"/>
        </w:numPr>
        <w:rPr>
          <w:rFonts w:asciiTheme="minorHAnsi" w:hAnsiTheme="minorHAnsi" w:cstheme="minorBidi"/>
          <w:color w:val="auto"/>
          <w:sz w:val="22"/>
          <w:szCs w:val="22"/>
        </w:rPr>
      </w:pPr>
      <w:r w:rsidRPr="001060EC">
        <w:rPr>
          <w:rFonts w:asciiTheme="minorHAnsi" w:hAnsiTheme="minorHAnsi" w:cstheme="minorBidi"/>
          <w:color w:val="auto"/>
          <w:sz w:val="22"/>
          <w:szCs w:val="22"/>
        </w:rPr>
        <w:t>Proximity to existing hedgerows or other topographical features that naturally screen the proposed array from view from at least two sides.</w:t>
      </w:r>
    </w:p>
    <w:p w:rsidR="001060EC" w:rsidRDefault="00CA4F16" w:rsidP="001060EC">
      <w:pPr>
        <w:pStyle w:val="Default"/>
        <w:numPr>
          <w:ilvl w:val="3"/>
          <w:numId w:val="10"/>
        </w:numPr>
        <w:rPr>
          <w:rFonts w:asciiTheme="minorHAnsi" w:hAnsiTheme="minorHAnsi" w:cstheme="minorBidi"/>
          <w:color w:val="auto"/>
          <w:sz w:val="22"/>
          <w:szCs w:val="22"/>
        </w:rPr>
      </w:pPr>
      <w:r w:rsidRPr="001060EC">
        <w:rPr>
          <w:rFonts w:asciiTheme="minorHAnsi" w:hAnsiTheme="minorHAnsi" w:cstheme="minorBidi"/>
          <w:color w:val="auto"/>
          <w:sz w:val="22"/>
          <w:szCs w:val="22"/>
        </w:rPr>
        <w:t xml:space="preserve">Reuse of former brownfields or otherwise impacted property. </w:t>
      </w:r>
    </w:p>
    <w:p w:rsidR="001060EC" w:rsidRDefault="00CA4F16" w:rsidP="001060EC">
      <w:pPr>
        <w:pStyle w:val="Default"/>
        <w:numPr>
          <w:ilvl w:val="2"/>
          <w:numId w:val="10"/>
        </w:numPr>
        <w:rPr>
          <w:rFonts w:asciiTheme="minorHAnsi" w:hAnsiTheme="minorHAnsi" w:cstheme="minorBidi"/>
          <w:color w:val="auto"/>
          <w:sz w:val="22"/>
          <w:szCs w:val="22"/>
        </w:rPr>
      </w:pPr>
      <w:r w:rsidRPr="001060EC">
        <w:rPr>
          <w:rFonts w:asciiTheme="minorHAnsi" w:hAnsiTheme="minorHAnsi" w:cstheme="minorBidi"/>
          <w:color w:val="auto"/>
          <w:sz w:val="22"/>
          <w:szCs w:val="22"/>
        </w:rPr>
        <w:t xml:space="preserve">Poor sites have one or more of the following characteristics: </w:t>
      </w:r>
    </w:p>
    <w:p w:rsidR="001060EC" w:rsidRDefault="00CA4F16" w:rsidP="001060EC">
      <w:pPr>
        <w:pStyle w:val="Default"/>
        <w:numPr>
          <w:ilvl w:val="3"/>
          <w:numId w:val="10"/>
        </w:numPr>
        <w:rPr>
          <w:rFonts w:asciiTheme="minorHAnsi" w:hAnsiTheme="minorHAnsi" w:cstheme="minorBidi"/>
          <w:color w:val="auto"/>
          <w:sz w:val="22"/>
          <w:szCs w:val="22"/>
        </w:rPr>
      </w:pPr>
      <w:r w:rsidRPr="001060EC">
        <w:rPr>
          <w:rFonts w:asciiTheme="minorHAnsi" w:hAnsiTheme="minorHAnsi" w:cstheme="minorBidi"/>
          <w:color w:val="auto"/>
          <w:sz w:val="22"/>
          <w:szCs w:val="22"/>
        </w:rPr>
        <w:t xml:space="preserve">No natural screening </w:t>
      </w:r>
    </w:p>
    <w:p w:rsidR="001060EC" w:rsidRDefault="00CA4F16" w:rsidP="001060EC">
      <w:pPr>
        <w:pStyle w:val="Default"/>
        <w:numPr>
          <w:ilvl w:val="3"/>
          <w:numId w:val="10"/>
        </w:numPr>
        <w:rPr>
          <w:rFonts w:asciiTheme="minorHAnsi" w:hAnsiTheme="minorHAnsi" w:cstheme="minorBidi"/>
          <w:color w:val="auto"/>
          <w:sz w:val="22"/>
          <w:szCs w:val="22"/>
        </w:rPr>
      </w:pPr>
      <w:r w:rsidRPr="001060EC">
        <w:rPr>
          <w:rFonts w:asciiTheme="minorHAnsi" w:hAnsiTheme="minorHAnsi" w:cstheme="minorBidi"/>
          <w:color w:val="auto"/>
          <w:sz w:val="22"/>
          <w:szCs w:val="22"/>
        </w:rPr>
        <w:t xml:space="preserve">Topography that causes the arrays to be visible against the skyline from common vantage points like roads or neighborhoods. </w:t>
      </w:r>
    </w:p>
    <w:p w:rsidR="001060EC" w:rsidRDefault="00CA4F16" w:rsidP="001060EC">
      <w:pPr>
        <w:pStyle w:val="Default"/>
        <w:numPr>
          <w:ilvl w:val="3"/>
          <w:numId w:val="10"/>
        </w:numPr>
        <w:rPr>
          <w:rFonts w:asciiTheme="minorHAnsi" w:hAnsiTheme="minorHAnsi" w:cstheme="minorBidi"/>
          <w:color w:val="auto"/>
          <w:sz w:val="22"/>
          <w:szCs w:val="22"/>
        </w:rPr>
      </w:pPr>
      <w:r w:rsidRPr="001060EC">
        <w:rPr>
          <w:rFonts w:asciiTheme="minorHAnsi" w:hAnsiTheme="minorHAnsi" w:cstheme="minorBidi"/>
          <w:color w:val="auto"/>
          <w:sz w:val="22"/>
          <w:szCs w:val="22"/>
        </w:rPr>
        <w:t xml:space="preserve">A location in proximity to and interfering with a significant viewshed (significant viewsheds within the Town of Bradford include I91, Route 5, Route 25, South Road, Goshen Road, Fairground Road, along the Waits River and Connecticut River </w:t>
      </w:r>
    </w:p>
    <w:p w:rsidR="001060EC" w:rsidRDefault="00CA4F16" w:rsidP="001060EC">
      <w:pPr>
        <w:pStyle w:val="Default"/>
        <w:numPr>
          <w:ilvl w:val="3"/>
          <w:numId w:val="10"/>
        </w:numPr>
        <w:rPr>
          <w:rFonts w:asciiTheme="minorHAnsi" w:hAnsiTheme="minorHAnsi" w:cstheme="minorBidi"/>
          <w:color w:val="auto"/>
          <w:sz w:val="22"/>
          <w:szCs w:val="22"/>
        </w:rPr>
      </w:pPr>
      <w:r w:rsidRPr="001060EC">
        <w:rPr>
          <w:rFonts w:asciiTheme="minorHAnsi" w:hAnsiTheme="minorHAnsi" w:cstheme="minorBidi"/>
          <w:color w:val="auto"/>
          <w:sz w:val="22"/>
          <w:szCs w:val="22"/>
        </w:rPr>
        <w:t xml:space="preserve">The removal of productive agricultural land from agricultural use. </w:t>
      </w:r>
    </w:p>
    <w:p w:rsidR="001060EC" w:rsidRDefault="00CA4F16" w:rsidP="001060EC">
      <w:pPr>
        <w:pStyle w:val="Default"/>
        <w:numPr>
          <w:ilvl w:val="3"/>
          <w:numId w:val="10"/>
        </w:numPr>
        <w:rPr>
          <w:rFonts w:asciiTheme="minorHAnsi" w:hAnsiTheme="minorHAnsi" w:cstheme="minorBidi"/>
          <w:color w:val="auto"/>
          <w:sz w:val="22"/>
          <w:szCs w:val="22"/>
        </w:rPr>
      </w:pPr>
      <w:r w:rsidRPr="001060EC">
        <w:rPr>
          <w:rFonts w:asciiTheme="minorHAnsi" w:hAnsiTheme="minorHAnsi" w:cstheme="minorBidi"/>
          <w:color w:val="auto"/>
          <w:sz w:val="22"/>
          <w:szCs w:val="22"/>
        </w:rPr>
        <w:t xml:space="preserve">Sites that require public investment in transmission and distribution infrastructure in order to function properly. </w:t>
      </w:r>
    </w:p>
    <w:p w:rsidR="001060EC" w:rsidRPr="001060EC" w:rsidRDefault="00CA4F16" w:rsidP="001060EC">
      <w:pPr>
        <w:pStyle w:val="Default"/>
        <w:numPr>
          <w:ilvl w:val="1"/>
          <w:numId w:val="10"/>
        </w:numPr>
        <w:rPr>
          <w:rFonts w:asciiTheme="minorHAnsi" w:hAnsiTheme="minorHAnsi" w:cstheme="minorBidi"/>
          <w:color w:val="auto"/>
          <w:sz w:val="22"/>
          <w:szCs w:val="22"/>
        </w:rPr>
      </w:pPr>
      <w:r w:rsidRPr="001060EC">
        <w:rPr>
          <w:rFonts w:asciiTheme="minorHAnsi" w:hAnsiTheme="minorHAnsi" w:cstheme="minorBidi"/>
          <w:color w:val="auto"/>
          <w:sz w:val="22"/>
          <w:szCs w:val="22"/>
        </w:rPr>
        <w:t xml:space="preserve">Mass and Scale: The historical working landscape that defines Bradford currently and that </w:t>
      </w:r>
      <w:r w:rsidR="001060EC" w:rsidRPr="001060EC">
        <w:rPr>
          <w:rFonts w:asciiTheme="minorHAnsi" w:hAnsiTheme="minorHAnsi" w:cstheme="minorBidi"/>
          <w:color w:val="auto"/>
          <w:sz w:val="22"/>
          <w:szCs w:val="22"/>
        </w:rPr>
        <w:t xml:space="preserve">Bradford desires to preserve is dominated by viewsheds across open fields to wooded hillsides. Rural structures like barns fit into the landscape because their scale and mass generally do not impact large tracts of otherwise open land. All </w:t>
      </w:r>
      <w:r w:rsidR="001060EC" w:rsidRPr="001060EC">
        <w:rPr>
          <w:rFonts w:asciiTheme="minorHAnsi" w:hAnsiTheme="minorHAnsi" w:cstheme="minorBidi"/>
          <w:color w:val="auto"/>
          <w:sz w:val="22"/>
          <w:szCs w:val="22"/>
        </w:rPr>
        <w:lastRenderedPageBreak/>
        <w:t xml:space="preserve">commercial scale solar arrays shall also be limited in mass and scale, and/ or have their mass and scale broken by screening, to fit in with the landscape. Commercial solar projects larger than an acre are larger than any other structure within the Town of Bradford. If they cannot be adequately screened or mitigated to blend into the municipality’s landscape and are therefore prohibited. </w:t>
      </w:r>
    </w:p>
    <w:p w:rsidR="001060EC" w:rsidRPr="001060EC" w:rsidRDefault="001060EC" w:rsidP="001060EC">
      <w:pPr>
        <w:pStyle w:val="Default"/>
        <w:numPr>
          <w:ilvl w:val="0"/>
          <w:numId w:val="10"/>
        </w:numPr>
        <w:rPr>
          <w:rFonts w:asciiTheme="minorHAnsi" w:hAnsiTheme="minorHAnsi" w:cstheme="minorBidi"/>
          <w:color w:val="auto"/>
          <w:sz w:val="22"/>
          <w:szCs w:val="22"/>
        </w:rPr>
      </w:pPr>
      <w:r w:rsidRPr="001060EC">
        <w:rPr>
          <w:rFonts w:asciiTheme="minorHAnsi" w:hAnsiTheme="minorHAnsi" w:cstheme="minorBidi"/>
          <w:color w:val="auto"/>
          <w:sz w:val="22"/>
          <w:szCs w:val="22"/>
        </w:rPr>
        <w:t>Average Person For the purposes of this plan, either the Selectboard or the Planning Commission shall be deemed to represent the voice of the “average person” with respect to the “</w:t>
      </w:r>
      <w:proofErr w:type="spellStart"/>
      <w:r w:rsidRPr="001060EC">
        <w:rPr>
          <w:rFonts w:asciiTheme="minorHAnsi" w:hAnsiTheme="minorHAnsi" w:cstheme="minorBidi"/>
          <w:color w:val="auto"/>
          <w:sz w:val="22"/>
          <w:szCs w:val="22"/>
        </w:rPr>
        <w:t>Quechee</w:t>
      </w:r>
      <w:proofErr w:type="spellEnd"/>
      <w:r w:rsidRPr="001060EC">
        <w:rPr>
          <w:rFonts w:asciiTheme="minorHAnsi" w:hAnsiTheme="minorHAnsi" w:cstheme="minorBidi"/>
          <w:color w:val="auto"/>
          <w:sz w:val="22"/>
          <w:szCs w:val="22"/>
        </w:rPr>
        <w:t xml:space="preserve"> Test” when evaluating the aesthetics of a proposed solar array. </w:t>
      </w:r>
    </w:p>
    <w:p w:rsidR="001060EC" w:rsidRPr="001060EC" w:rsidRDefault="001060EC" w:rsidP="001060EC">
      <w:pPr>
        <w:pStyle w:val="Default"/>
        <w:numPr>
          <w:ilvl w:val="0"/>
          <w:numId w:val="10"/>
        </w:numPr>
        <w:rPr>
          <w:rFonts w:asciiTheme="minorHAnsi" w:hAnsiTheme="minorHAnsi" w:cstheme="minorBidi"/>
          <w:color w:val="auto"/>
          <w:sz w:val="22"/>
          <w:szCs w:val="22"/>
        </w:rPr>
      </w:pPr>
      <w:r w:rsidRPr="001060EC">
        <w:rPr>
          <w:rFonts w:asciiTheme="minorHAnsi" w:hAnsiTheme="minorHAnsi" w:cstheme="minorBidi"/>
          <w:color w:val="auto"/>
          <w:sz w:val="22"/>
          <w:szCs w:val="22"/>
        </w:rPr>
        <w:t xml:space="preserve">Mitigation methods: </w:t>
      </w:r>
    </w:p>
    <w:p w:rsidR="001060EC" w:rsidRDefault="001060EC" w:rsidP="001060EC">
      <w:pPr>
        <w:pStyle w:val="Default"/>
        <w:numPr>
          <w:ilvl w:val="1"/>
          <w:numId w:val="10"/>
        </w:numPr>
        <w:rPr>
          <w:rFonts w:asciiTheme="minorHAnsi" w:hAnsiTheme="minorHAnsi" w:cstheme="minorBidi"/>
          <w:color w:val="auto"/>
          <w:sz w:val="22"/>
          <w:szCs w:val="22"/>
        </w:rPr>
      </w:pPr>
      <w:r w:rsidRPr="001060EC">
        <w:rPr>
          <w:rFonts w:asciiTheme="minorHAnsi" w:hAnsiTheme="minorHAnsi" w:cstheme="minorBidi"/>
          <w:color w:val="auto"/>
          <w:sz w:val="22"/>
          <w:szCs w:val="22"/>
        </w:rPr>
        <w:t xml:space="preserve">In addition to properly siting a project, solar developers must take the following action to mitigate all project sites: </w:t>
      </w:r>
    </w:p>
    <w:p w:rsidR="001060EC" w:rsidRDefault="001060EC" w:rsidP="001060EC">
      <w:pPr>
        <w:pStyle w:val="Default"/>
        <w:numPr>
          <w:ilvl w:val="2"/>
          <w:numId w:val="10"/>
        </w:numPr>
        <w:rPr>
          <w:rFonts w:asciiTheme="minorHAnsi" w:hAnsiTheme="minorHAnsi" w:cstheme="minorBidi"/>
          <w:color w:val="auto"/>
          <w:sz w:val="22"/>
          <w:szCs w:val="22"/>
        </w:rPr>
      </w:pPr>
      <w:r w:rsidRPr="001060EC">
        <w:rPr>
          <w:rFonts w:asciiTheme="minorHAnsi" w:hAnsiTheme="minorHAnsi" w:cstheme="minorBidi"/>
          <w:color w:val="auto"/>
          <w:sz w:val="22"/>
          <w:szCs w:val="22"/>
        </w:rPr>
        <w:t xml:space="preserve">Locate the structures on the site to keep them from being “skylines” above the horizon from public and private vantage points. </w:t>
      </w:r>
    </w:p>
    <w:p w:rsidR="001060EC" w:rsidRDefault="001060EC" w:rsidP="001060EC">
      <w:pPr>
        <w:pStyle w:val="Default"/>
        <w:numPr>
          <w:ilvl w:val="2"/>
          <w:numId w:val="10"/>
        </w:numPr>
        <w:rPr>
          <w:rFonts w:asciiTheme="minorHAnsi" w:hAnsiTheme="minorHAnsi" w:cstheme="minorBidi"/>
          <w:color w:val="auto"/>
          <w:sz w:val="22"/>
          <w:szCs w:val="22"/>
        </w:rPr>
      </w:pPr>
      <w:r w:rsidRPr="001060EC">
        <w:rPr>
          <w:rFonts w:asciiTheme="minorHAnsi" w:hAnsiTheme="minorHAnsi" w:cstheme="minorBidi"/>
          <w:color w:val="auto"/>
          <w:sz w:val="22"/>
          <w:szCs w:val="22"/>
        </w:rPr>
        <w:t xml:space="preserve">Shorter panels may be more appropriate in certain spaces than taller panels to keep the project lower on the landscape. </w:t>
      </w:r>
    </w:p>
    <w:p w:rsidR="001060EC" w:rsidRDefault="001060EC" w:rsidP="001060EC">
      <w:pPr>
        <w:pStyle w:val="Default"/>
        <w:numPr>
          <w:ilvl w:val="2"/>
          <w:numId w:val="10"/>
        </w:numPr>
        <w:rPr>
          <w:rFonts w:asciiTheme="minorHAnsi" w:hAnsiTheme="minorHAnsi" w:cstheme="minorBidi"/>
          <w:color w:val="auto"/>
          <w:sz w:val="22"/>
          <w:szCs w:val="22"/>
        </w:rPr>
      </w:pPr>
      <w:r w:rsidRPr="001060EC">
        <w:rPr>
          <w:rFonts w:asciiTheme="minorHAnsi" w:hAnsiTheme="minorHAnsi" w:cstheme="minorBidi"/>
          <w:color w:val="auto"/>
          <w:sz w:val="22"/>
          <w:szCs w:val="22"/>
        </w:rPr>
        <w:t xml:space="preserve">At a minimum all solar arrays must observe the setback restrictions contained in Act 56 governing solar installations. </w:t>
      </w:r>
      <w:proofErr w:type="gramStart"/>
      <w:r w:rsidRPr="001060EC">
        <w:rPr>
          <w:rFonts w:asciiTheme="minorHAnsi" w:hAnsiTheme="minorHAnsi" w:cstheme="minorBidi"/>
          <w:color w:val="auto"/>
          <w:sz w:val="22"/>
          <w:szCs w:val="22"/>
        </w:rPr>
        <w:t>However</w:t>
      </w:r>
      <w:proofErr w:type="gramEnd"/>
      <w:r w:rsidRPr="001060EC">
        <w:rPr>
          <w:rFonts w:asciiTheme="minorHAnsi" w:hAnsiTheme="minorHAnsi" w:cstheme="minorBidi"/>
          <w:color w:val="auto"/>
          <w:sz w:val="22"/>
          <w:szCs w:val="22"/>
        </w:rPr>
        <w:t xml:space="preserve"> developers are encouraged to increase setbacks to at least those listed in the Town Zoning Regulations within the Zoning Area in which it lies. </w:t>
      </w:r>
    </w:p>
    <w:p w:rsidR="001060EC" w:rsidRDefault="001060EC" w:rsidP="001060EC">
      <w:pPr>
        <w:pStyle w:val="Default"/>
        <w:numPr>
          <w:ilvl w:val="2"/>
          <w:numId w:val="10"/>
        </w:numPr>
        <w:rPr>
          <w:rFonts w:asciiTheme="minorHAnsi" w:hAnsiTheme="minorHAnsi" w:cstheme="minorBidi"/>
          <w:color w:val="auto"/>
          <w:sz w:val="22"/>
          <w:szCs w:val="22"/>
        </w:rPr>
      </w:pPr>
      <w:r w:rsidRPr="001060EC">
        <w:rPr>
          <w:rFonts w:asciiTheme="minorHAnsi" w:hAnsiTheme="minorHAnsi" w:cstheme="minorBidi"/>
          <w:color w:val="auto"/>
          <w:sz w:val="22"/>
          <w:szCs w:val="22"/>
        </w:rPr>
        <w:t xml:space="preserve">Use the existing topography, development or vegetation on the site to screen and or break the mass of the array. </w:t>
      </w:r>
    </w:p>
    <w:p w:rsidR="001060EC" w:rsidRDefault="001060EC" w:rsidP="001060EC">
      <w:pPr>
        <w:pStyle w:val="Default"/>
        <w:numPr>
          <w:ilvl w:val="2"/>
          <w:numId w:val="10"/>
        </w:numPr>
        <w:rPr>
          <w:rFonts w:asciiTheme="minorHAnsi" w:hAnsiTheme="minorHAnsi" w:cstheme="minorBidi"/>
          <w:color w:val="auto"/>
          <w:sz w:val="22"/>
          <w:szCs w:val="22"/>
        </w:rPr>
      </w:pPr>
      <w:r w:rsidRPr="001060EC">
        <w:rPr>
          <w:rFonts w:asciiTheme="minorHAnsi" w:hAnsiTheme="minorHAnsi" w:cstheme="minorBidi"/>
          <w:color w:val="auto"/>
          <w:sz w:val="22"/>
          <w:szCs w:val="22"/>
        </w:rPr>
        <w:t xml:space="preserve">In the absence of existing natural vegetation, the commercial development must be screened by native plantings beneficial to wildlife and pollinators that will grow to a sufficient height and depth to provide effective screening within a period of 5 years. Partial screening to break the mass of the site and to protect public and private views of the project may be appropriate. </w:t>
      </w:r>
    </w:p>
    <w:p w:rsidR="001060EC" w:rsidRDefault="001060EC" w:rsidP="001060EC">
      <w:pPr>
        <w:pStyle w:val="Default"/>
        <w:numPr>
          <w:ilvl w:val="2"/>
          <w:numId w:val="10"/>
        </w:numPr>
        <w:rPr>
          <w:rFonts w:asciiTheme="minorHAnsi" w:hAnsiTheme="minorHAnsi" w:cstheme="minorBidi"/>
          <w:color w:val="auto"/>
          <w:sz w:val="22"/>
          <w:szCs w:val="22"/>
        </w:rPr>
      </w:pPr>
      <w:r w:rsidRPr="001060EC">
        <w:rPr>
          <w:rFonts w:asciiTheme="minorHAnsi" w:hAnsiTheme="minorHAnsi" w:cstheme="minorBidi"/>
          <w:color w:val="auto"/>
          <w:sz w:val="22"/>
          <w:szCs w:val="22"/>
        </w:rPr>
        <w:t xml:space="preserve">Practice a “good neighbor policy”. The siting of the array should be done in such a manner that the array creates no greater burden on neighboring property owners or public infrastructure than it does on the property on which it is sited. As an example, a landowner may not site an array on his or her property in a location calculated to diminish the visual impact of the array from his or her </w:t>
      </w:r>
      <w:proofErr w:type="gramStart"/>
      <w:r w:rsidRPr="001060EC">
        <w:rPr>
          <w:rFonts w:asciiTheme="minorHAnsi" w:hAnsiTheme="minorHAnsi" w:cstheme="minorBidi"/>
          <w:color w:val="auto"/>
          <w:sz w:val="22"/>
          <w:szCs w:val="22"/>
        </w:rPr>
        <w:t>residence, but</w:t>
      </w:r>
      <w:proofErr w:type="gramEnd"/>
      <w:r w:rsidRPr="001060EC">
        <w:rPr>
          <w:rFonts w:asciiTheme="minorHAnsi" w:hAnsiTheme="minorHAnsi" w:cstheme="minorBidi"/>
          <w:color w:val="auto"/>
          <w:sz w:val="22"/>
          <w:szCs w:val="22"/>
        </w:rPr>
        <w:t xml:space="preserve"> places the array immediately within their neighbor’s or the public’s viewshed. Locating a solar array in such a manner designed to reduce impacts on neighbors or public viewsheds constitutes reasonable mitigation. </w:t>
      </w:r>
    </w:p>
    <w:p w:rsidR="001060EC" w:rsidRPr="001060EC" w:rsidRDefault="001060EC" w:rsidP="001060EC">
      <w:pPr>
        <w:pStyle w:val="Default"/>
        <w:numPr>
          <w:ilvl w:val="2"/>
          <w:numId w:val="10"/>
        </w:numPr>
        <w:rPr>
          <w:rFonts w:asciiTheme="minorHAnsi" w:hAnsiTheme="minorHAnsi" w:cstheme="minorBidi"/>
          <w:color w:val="auto"/>
          <w:sz w:val="22"/>
          <w:szCs w:val="22"/>
        </w:rPr>
      </w:pPr>
      <w:r w:rsidRPr="001060EC">
        <w:rPr>
          <w:rFonts w:asciiTheme="minorHAnsi" w:hAnsiTheme="minorHAnsi" w:cstheme="minorBidi"/>
          <w:color w:val="auto"/>
          <w:sz w:val="22"/>
          <w:szCs w:val="22"/>
        </w:rPr>
        <w:t xml:space="preserve">Use black or earth tone materials (panels, supports fences) that blend into the landscape instead of metallic or other brighter colors. </w:t>
      </w:r>
    </w:p>
    <w:p w:rsidR="001060EC" w:rsidRPr="001060EC" w:rsidRDefault="001060EC" w:rsidP="001060EC">
      <w:pPr>
        <w:pStyle w:val="Default"/>
        <w:numPr>
          <w:ilvl w:val="1"/>
          <w:numId w:val="10"/>
        </w:numPr>
        <w:rPr>
          <w:rFonts w:asciiTheme="minorHAnsi" w:hAnsiTheme="minorHAnsi" w:cstheme="minorBidi"/>
          <w:color w:val="auto"/>
          <w:sz w:val="22"/>
          <w:szCs w:val="22"/>
        </w:rPr>
      </w:pPr>
      <w:r w:rsidRPr="001060EC">
        <w:rPr>
          <w:rFonts w:asciiTheme="minorHAnsi" w:hAnsiTheme="minorHAnsi" w:cstheme="minorBidi"/>
          <w:color w:val="auto"/>
          <w:sz w:val="22"/>
          <w:szCs w:val="22"/>
        </w:rPr>
        <w:t xml:space="preserve">Decommissioning and Restoration: All projects shall be decommissioned at the end of their useful life and the property shall be restored to its pre-project condition. Developers of all projects </w:t>
      </w:r>
      <w:r w:rsidRPr="001060EC">
        <w:rPr>
          <w:rFonts w:asciiTheme="minorHAnsi" w:hAnsiTheme="minorHAnsi" w:cstheme="minorBidi"/>
          <w:strike/>
          <w:color w:val="auto"/>
          <w:sz w:val="22"/>
          <w:szCs w:val="22"/>
        </w:rPr>
        <w:t>100kW</w:t>
      </w:r>
      <w:r w:rsidRPr="001060EC">
        <w:rPr>
          <w:rFonts w:asciiTheme="minorHAnsi" w:hAnsiTheme="minorHAnsi" w:cstheme="minorBidi"/>
          <w:color w:val="auto"/>
          <w:sz w:val="22"/>
          <w:szCs w:val="22"/>
        </w:rPr>
        <w:t xml:space="preserve"> </w:t>
      </w:r>
      <w:r w:rsidRPr="001060EC">
        <w:rPr>
          <w:rFonts w:asciiTheme="minorHAnsi" w:hAnsiTheme="minorHAnsi" w:cstheme="minorBidi"/>
          <w:color w:val="auto"/>
          <w:sz w:val="22"/>
          <w:szCs w:val="22"/>
          <w:u w:val="single"/>
        </w:rPr>
        <w:t>150kW</w:t>
      </w:r>
      <w:r>
        <w:rPr>
          <w:rFonts w:asciiTheme="minorHAnsi" w:hAnsiTheme="minorHAnsi" w:cstheme="minorBidi"/>
          <w:color w:val="auto"/>
          <w:sz w:val="22"/>
          <w:szCs w:val="22"/>
        </w:rPr>
        <w:t xml:space="preserve"> </w:t>
      </w:r>
      <w:r w:rsidRPr="001060EC">
        <w:rPr>
          <w:rFonts w:asciiTheme="minorHAnsi" w:hAnsiTheme="minorHAnsi" w:cstheme="minorBidi"/>
          <w:color w:val="auto"/>
          <w:sz w:val="22"/>
          <w:szCs w:val="22"/>
        </w:rPr>
        <w:t xml:space="preserve">and greater shall provide the town with appropriate assurances to guarantee funding exists to decommission the project such as a bond. In keeping with the Town of Bradford’s desires to retain our agricultural land base, a solar array’s useful life shall be deemed to be at the end of the initial contract for services with the power company. </w:t>
      </w:r>
    </w:p>
    <w:p w:rsidR="001060EC" w:rsidRDefault="001060EC" w:rsidP="001060EC">
      <w:pPr>
        <w:pStyle w:val="Default"/>
        <w:rPr>
          <w:sz w:val="23"/>
          <w:szCs w:val="23"/>
        </w:rPr>
      </w:pPr>
    </w:p>
    <w:p w:rsidR="001060EC" w:rsidRPr="001060EC" w:rsidRDefault="001060EC" w:rsidP="00CA4F16">
      <w:pPr>
        <w:tabs>
          <w:tab w:val="left" w:pos="1155"/>
        </w:tabs>
        <w:spacing w:after="0" w:line="240" w:lineRule="auto"/>
        <w:rPr>
          <w:b/>
          <w:sz w:val="23"/>
          <w:szCs w:val="23"/>
        </w:rPr>
      </w:pPr>
      <w:r w:rsidRPr="001060EC">
        <w:rPr>
          <w:b/>
          <w:sz w:val="23"/>
          <w:szCs w:val="23"/>
        </w:rPr>
        <w:t>Wind</w:t>
      </w:r>
    </w:p>
    <w:p w:rsidR="00CA4F16" w:rsidRDefault="001060EC" w:rsidP="00CA4F16">
      <w:pPr>
        <w:tabs>
          <w:tab w:val="left" w:pos="1155"/>
        </w:tabs>
        <w:spacing w:after="0" w:line="240" w:lineRule="auto"/>
        <w:rPr>
          <w:sz w:val="23"/>
          <w:szCs w:val="23"/>
        </w:rPr>
      </w:pPr>
      <w:r>
        <w:rPr>
          <w:sz w:val="23"/>
          <w:szCs w:val="23"/>
        </w:rPr>
        <w:t xml:space="preserve">Similar to solar, wind energy is an intermittent resource and its generation fluctuates in response to environmental conditions. The amount of energy produced by a specific wind tower can depend greatly on location, height of the tower, and proximity to other obstructions. Nevertheless, most </w:t>
      </w:r>
      <w:r>
        <w:rPr>
          <w:sz w:val="23"/>
          <w:szCs w:val="23"/>
        </w:rPr>
        <w:lastRenderedPageBreak/>
        <w:t>modern wind turbines (when properly sited) are able to generate electricity 95% of the time. There are multiple levels of potential wind energy generation, ranging from Class 1 (10-11 mph) to Class 7 (19-25 mph).</w:t>
      </w:r>
    </w:p>
    <w:p w:rsidR="001060EC" w:rsidRDefault="001060EC" w:rsidP="00CA4F16">
      <w:pPr>
        <w:tabs>
          <w:tab w:val="left" w:pos="1155"/>
        </w:tabs>
        <w:spacing w:after="0" w:line="240" w:lineRule="auto"/>
        <w:rPr>
          <w:sz w:val="23"/>
          <w:szCs w:val="23"/>
        </w:rPr>
      </w:pPr>
    </w:p>
    <w:p w:rsidR="001060EC" w:rsidRDefault="001060EC" w:rsidP="00CA4F16">
      <w:pPr>
        <w:tabs>
          <w:tab w:val="left" w:pos="1155"/>
        </w:tabs>
        <w:spacing w:after="0" w:line="240" w:lineRule="auto"/>
        <w:rPr>
          <w:sz w:val="23"/>
          <w:szCs w:val="23"/>
        </w:rPr>
      </w:pPr>
      <w:r>
        <w:rPr>
          <w:sz w:val="23"/>
          <w:szCs w:val="23"/>
        </w:rPr>
        <w:t>In the 2007 Town Plan Survey, just over 80% of respondents indicated that they would encourage wind power in Bradford. Bradford’s topography does not make it a desirable location for large-scale wind energy generation. Instead, it is better suited to small-scale residential wind energy generation. Wind technologies are changing rapidly, however, and smaller units may be feasible at some locations in Bradford. The location of lower scaled home or cooperatively based wind energy turbines and associated facilities may be appropriate at some locations in Bradford. Not all means of wind generation are appropriate to every setting and due consideration must be given to wildlife habitats.</w:t>
      </w:r>
    </w:p>
    <w:p w:rsidR="001060EC" w:rsidRDefault="001060EC" w:rsidP="00CA4F16">
      <w:pPr>
        <w:tabs>
          <w:tab w:val="left" w:pos="1155"/>
        </w:tabs>
        <w:spacing w:after="0" w:line="240" w:lineRule="auto"/>
        <w:rPr>
          <w:sz w:val="23"/>
          <w:szCs w:val="23"/>
        </w:rPr>
      </w:pPr>
    </w:p>
    <w:p w:rsidR="001060EC" w:rsidRPr="002F297A" w:rsidRDefault="001060EC" w:rsidP="00CA4F16">
      <w:pPr>
        <w:tabs>
          <w:tab w:val="left" w:pos="1155"/>
        </w:tabs>
        <w:spacing w:after="0" w:line="240" w:lineRule="auto"/>
        <w:rPr>
          <w:b/>
          <w:sz w:val="23"/>
          <w:szCs w:val="23"/>
        </w:rPr>
      </w:pPr>
      <w:r w:rsidRPr="002F297A">
        <w:rPr>
          <w:b/>
          <w:sz w:val="23"/>
          <w:szCs w:val="23"/>
        </w:rPr>
        <w:t>Biomass</w:t>
      </w:r>
    </w:p>
    <w:p w:rsidR="001060EC" w:rsidRDefault="001060EC" w:rsidP="00CA4F16">
      <w:pPr>
        <w:tabs>
          <w:tab w:val="left" w:pos="1155"/>
        </w:tabs>
        <w:spacing w:after="0" w:line="240" w:lineRule="auto"/>
        <w:rPr>
          <w:sz w:val="23"/>
          <w:szCs w:val="23"/>
        </w:rPr>
      </w:pPr>
      <w:r>
        <w:rPr>
          <w:sz w:val="23"/>
          <w:szCs w:val="23"/>
        </w:rPr>
        <w:t>There are no biomass energy generation facilities in Bradford. Community-scale biomass has the potential to offer cost-effective heating in small, clustered areas. Some towns have implemented combined heat and power systems that run on biomass to heat multiple municipal buildings.</w:t>
      </w:r>
    </w:p>
    <w:p w:rsidR="001060EC" w:rsidRDefault="001060EC" w:rsidP="00CA4F16">
      <w:pPr>
        <w:tabs>
          <w:tab w:val="left" w:pos="1155"/>
        </w:tabs>
        <w:spacing w:after="0" w:line="240" w:lineRule="auto"/>
        <w:rPr>
          <w:sz w:val="23"/>
          <w:szCs w:val="23"/>
        </w:rPr>
      </w:pPr>
    </w:p>
    <w:p w:rsidR="001060EC" w:rsidRPr="001060EC" w:rsidRDefault="001060EC" w:rsidP="001060EC">
      <w:pPr>
        <w:pStyle w:val="Default"/>
        <w:rPr>
          <w:rFonts w:asciiTheme="minorHAnsi" w:hAnsiTheme="minorHAnsi" w:cstheme="minorHAnsi"/>
          <w:sz w:val="23"/>
          <w:szCs w:val="23"/>
        </w:rPr>
      </w:pPr>
      <w:r w:rsidRPr="001060EC">
        <w:rPr>
          <w:rFonts w:asciiTheme="minorHAnsi" w:hAnsiTheme="minorHAnsi" w:cstheme="minorHAnsi"/>
          <w:b/>
          <w:bCs/>
          <w:sz w:val="23"/>
          <w:szCs w:val="23"/>
        </w:rPr>
        <w:t xml:space="preserve">Biofuels </w:t>
      </w:r>
    </w:p>
    <w:p w:rsidR="001060EC" w:rsidRDefault="001060EC" w:rsidP="001060EC">
      <w:pPr>
        <w:tabs>
          <w:tab w:val="left" w:pos="1155"/>
        </w:tabs>
        <w:spacing w:after="0" w:line="240" w:lineRule="auto"/>
        <w:rPr>
          <w:sz w:val="23"/>
          <w:szCs w:val="23"/>
        </w:rPr>
      </w:pPr>
      <w:r>
        <w:rPr>
          <w:sz w:val="23"/>
          <w:szCs w:val="23"/>
        </w:rPr>
        <w:t xml:space="preserve">In addition to using biomass for heating, the use of biofuels, particularly biodiesel, is becoming an increasingly popular option for municipalities attempting to cut costs and reduce the environmental impacts associated with vehicle emissions. The Town of Bradford could revisit the possibility of using biofuels in their road crew fleet. According to the Vermont </w:t>
      </w:r>
      <w:proofErr w:type="spellStart"/>
      <w:r>
        <w:rPr>
          <w:sz w:val="23"/>
          <w:szCs w:val="23"/>
        </w:rPr>
        <w:t>BioFuels</w:t>
      </w:r>
      <w:proofErr w:type="spellEnd"/>
      <w:r>
        <w:rPr>
          <w:sz w:val="23"/>
          <w:szCs w:val="23"/>
        </w:rPr>
        <w:t xml:space="preserve"> Association, biodiesel is a clean-burning alternative fuel, produced from domestic, renewable resources, such as soybeans, sunflowers, canola, waste cooking oil, or animal fats. Biodiesel contains no petroleum, but it can be blended at any level with petroleum diesel to create a biodiesel blend, which can be used in colder weather. It can be used in compression-ignition (diesel) engines or oil-fired boilers or furnaces with little or no modifications. Growing biomass to use in biofuels may be a viable way to encourage farming or forestry in Bradford as well; however, balance should be sought for land used for energy demands vs. human and animal consumption.</w:t>
      </w:r>
    </w:p>
    <w:p w:rsidR="002F297A" w:rsidRDefault="002F297A" w:rsidP="001060EC">
      <w:pPr>
        <w:tabs>
          <w:tab w:val="left" w:pos="1155"/>
        </w:tabs>
        <w:spacing w:after="0" w:line="240" w:lineRule="auto"/>
        <w:rPr>
          <w:u w:val="single"/>
        </w:rPr>
      </w:pPr>
    </w:p>
    <w:p w:rsidR="002F297A" w:rsidRPr="002F297A" w:rsidRDefault="002F297A" w:rsidP="002F297A">
      <w:pPr>
        <w:pStyle w:val="Default"/>
        <w:rPr>
          <w:rFonts w:asciiTheme="minorHAnsi" w:hAnsiTheme="minorHAnsi" w:cstheme="minorHAnsi"/>
          <w:b/>
          <w:bCs/>
          <w:sz w:val="23"/>
          <w:szCs w:val="23"/>
        </w:rPr>
      </w:pPr>
      <w:r w:rsidRPr="002F297A">
        <w:rPr>
          <w:rFonts w:asciiTheme="minorHAnsi" w:hAnsiTheme="minorHAnsi" w:cstheme="minorHAnsi"/>
          <w:b/>
          <w:bCs/>
          <w:sz w:val="23"/>
          <w:szCs w:val="23"/>
        </w:rPr>
        <w:t xml:space="preserve">Hydropower </w:t>
      </w:r>
    </w:p>
    <w:p w:rsidR="002F297A" w:rsidRDefault="002F297A" w:rsidP="002F297A">
      <w:pPr>
        <w:pStyle w:val="Default"/>
        <w:rPr>
          <w:rFonts w:asciiTheme="minorHAnsi" w:hAnsiTheme="minorHAnsi" w:cstheme="minorHAnsi"/>
          <w:bCs/>
          <w:sz w:val="23"/>
          <w:szCs w:val="23"/>
        </w:rPr>
      </w:pPr>
      <w:r w:rsidRPr="002F297A">
        <w:rPr>
          <w:rFonts w:asciiTheme="minorHAnsi" w:hAnsiTheme="minorHAnsi" w:cstheme="minorHAnsi"/>
          <w:bCs/>
          <w:sz w:val="23"/>
          <w:szCs w:val="23"/>
        </w:rPr>
        <w:t xml:space="preserve">Many locations in Vermont, including Bradford, once depended on hydropower to grind grain, run mills and even supply electricity to homes. But, with the onset of centralized power, most of these small-scale power generation facilities have been replaced by massive hydro facilities, such as those owned by Hydro Quebec. There is one operational hydropower facility in Bradford which annual produces 4,335 MWh of electricity. The Vermont Energy Atlas also identifies potential hydro site on Roaring Brook (located on the Blodgett property) that could have 10-49KW of undeveloped potential. </w:t>
      </w:r>
    </w:p>
    <w:p w:rsidR="002F297A" w:rsidRPr="002F297A" w:rsidRDefault="002F297A" w:rsidP="002F297A">
      <w:pPr>
        <w:pStyle w:val="Default"/>
        <w:rPr>
          <w:rFonts w:asciiTheme="minorHAnsi" w:hAnsiTheme="minorHAnsi" w:cstheme="minorHAnsi"/>
          <w:bCs/>
          <w:sz w:val="23"/>
          <w:szCs w:val="23"/>
        </w:rPr>
      </w:pPr>
    </w:p>
    <w:p w:rsidR="002F297A" w:rsidRPr="002F297A" w:rsidRDefault="002F297A" w:rsidP="002F297A">
      <w:pPr>
        <w:pStyle w:val="Default"/>
        <w:rPr>
          <w:rFonts w:asciiTheme="minorHAnsi" w:hAnsiTheme="minorHAnsi" w:cstheme="minorHAnsi"/>
          <w:b/>
          <w:bCs/>
          <w:sz w:val="23"/>
          <w:szCs w:val="23"/>
        </w:rPr>
      </w:pPr>
      <w:r w:rsidRPr="002F297A">
        <w:rPr>
          <w:rFonts w:asciiTheme="minorHAnsi" w:hAnsiTheme="minorHAnsi" w:cstheme="minorHAnsi"/>
          <w:b/>
          <w:bCs/>
          <w:sz w:val="23"/>
          <w:szCs w:val="23"/>
        </w:rPr>
        <w:t xml:space="preserve">Landfill Methane </w:t>
      </w:r>
    </w:p>
    <w:p w:rsidR="002F297A" w:rsidRDefault="002F297A" w:rsidP="002F297A">
      <w:pPr>
        <w:pStyle w:val="Default"/>
        <w:rPr>
          <w:rFonts w:asciiTheme="minorHAnsi" w:hAnsiTheme="minorHAnsi" w:cstheme="minorHAnsi"/>
          <w:bCs/>
          <w:sz w:val="23"/>
          <w:szCs w:val="23"/>
        </w:rPr>
      </w:pPr>
      <w:r w:rsidRPr="002F297A">
        <w:rPr>
          <w:rFonts w:asciiTheme="minorHAnsi" w:hAnsiTheme="minorHAnsi" w:cstheme="minorHAnsi"/>
          <w:bCs/>
          <w:sz w:val="23"/>
          <w:szCs w:val="23"/>
        </w:rPr>
        <w:t>Decay of organic materials in landfills produces significant amounts of methane, a potent greenhouse gas and potential energy source. Use of methane may provide an alternative to conventional energy production sources. Capture technologies have experienced tremendous growth in recent years rendering methane a valuable energy source, as developed by the Washington Electric Cooperative.</w:t>
      </w:r>
    </w:p>
    <w:p w:rsidR="009A62A9" w:rsidRDefault="009A62A9" w:rsidP="002F297A">
      <w:pPr>
        <w:pStyle w:val="Default"/>
        <w:rPr>
          <w:rFonts w:asciiTheme="minorHAnsi" w:hAnsiTheme="minorHAnsi" w:cstheme="minorHAnsi"/>
          <w:bCs/>
          <w:sz w:val="23"/>
          <w:szCs w:val="23"/>
        </w:rPr>
      </w:pPr>
    </w:p>
    <w:p w:rsidR="009A62A9" w:rsidRPr="009A62A9" w:rsidRDefault="009A62A9" w:rsidP="009A62A9">
      <w:pPr>
        <w:pStyle w:val="Default"/>
        <w:rPr>
          <w:rFonts w:asciiTheme="minorHAnsi" w:hAnsiTheme="minorHAnsi" w:cstheme="minorHAnsi"/>
          <w:b/>
          <w:bCs/>
          <w:sz w:val="23"/>
          <w:szCs w:val="23"/>
        </w:rPr>
      </w:pPr>
      <w:r w:rsidRPr="009A62A9">
        <w:rPr>
          <w:rFonts w:asciiTheme="minorHAnsi" w:hAnsiTheme="minorHAnsi" w:cstheme="minorHAnsi"/>
          <w:b/>
          <w:bCs/>
          <w:sz w:val="23"/>
          <w:szCs w:val="23"/>
        </w:rPr>
        <w:t xml:space="preserve">Demand Side Energy Management Programs </w:t>
      </w:r>
    </w:p>
    <w:p w:rsidR="009A62A9" w:rsidRDefault="009A62A9" w:rsidP="009A62A9">
      <w:pPr>
        <w:pStyle w:val="Default"/>
        <w:rPr>
          <w:rFonts w:asciiTheme="minorHAnsi" w:hAnsiTheme="minorHAnsi" w:cstheme="minorHAnsi"/>
          <w:bCs/>
          <w:sz w:val="23"/>
          <w:szCs w:val="23"/>
        </w:rPr>
      </w:pPr>
      <w:r w:rsidRPr="009A62A9">
        <w:rPr>
          <w:rFonts w:asciiTheme="minorHAnsi" w:hAnsiTheme="minorHAnsi" w:cstheme="minorHAnsi"/>
          <w:bCs/>
          <w:sz w:val="23"/>
          <w:szCs w:val="23"/>
        </w:rPr>
        <w:t>In 1990 the Public Service Board required the state’s regulated utilities to carry out Least Cost Integrated Planning and implement Demand Side Management Programs. Least Cost Integrated Planning requires that each utility “meet the needs of its customers at the lowest total long-term cost and do so by giving equal consideration to all generation, transmission, and energy options” (Vermont C</w:t>
      </w:r>
      <w:r w:rsidR="00660E41">
        <w:rPr>
          <w:rFonts w:asciiTheme="minorHAnsi" w:hAnsiTheme="minorHAnsi" w:cstheme="minorHAnsi"/>
          <w:bCs/>
          <w:sz w:val="23"/>
          <w:szCs w:val="23"/>
        </w:rPr>
        <w:t>EP</w:t>
      </w:r>
      <w:r w:rsidRPr="009A62A9">
        <w:rPr>
          <w:rFonts w:asciiTheme="minorHAnsi" w:hAnsiTheme="minorHAnsi" w:cstheme="minorHAnsi"/>
          <w:bCs/>
          <w:sz w:val="23"/>
          <w:szCs w:val="23"/>
        </w:rPr>
        <w:t xml:space="preserve">). </w:t>
      </w:r>
    </w:p>
    <w:p w:rsidR="00660E41" w:rsidRPr="009A62A9" w:rsidRDefault="00660E41" w:rsidP="009A62A9">
      <w:pPr>
        <w:pStyle w:val="Default"/>
        <w:rPr>
          <w:rFonts w:asciiTheme="minorHAnsi" w:hAnsiTheme="minorHAnsi" w:cstheme="minorHAnsi"/>
          <w:bCs/>
          <w:sz w:val="23"/>
          <w:szCs w:val="23"/>
        </w:rPr>
      </w:pPr>
    </w:p>
    <w:p w:rsidR="009A62A9" w:rsidRPr="002F297A" w:rsidRDefault="009A62A9" w:rsidP="009A62A9">
      <w:pPr>
        <w:pStyle w:val="Default"/>
        <w:rPr>
          <w:rFonts w:asciiTheme="minorHAnsi" w:hAnsiTheme="minorHAnsi" w:cstheme="minorHAnsi"/>
          <w:bCs/>
          <w:sz w:val="23"/>
          <w:szCs w:val="23"/>
        </w:rPr>
      </w:pPr>
      <w:r w:rsidRPr="009A62A9">
        <w:rPr>
          <w:rFonts w:asciiTheme="minorHAnsi" w:hAnsiTheme="minorHAnsi" w:cstheme="minorHAnsi"/>
          <w:bCs/>
          <w:sz w:val="23"/>
          <w:szCs w:val="23"/>
        </w:rPr>
        <w:t>Demand Side Management Programs promote the conservation of energy as an energy source available for future demand. Through these programs, the region’s utilities have provided various incentives including financing and partial payment of certain efficiency improvements, energy audits, and design services. As the creation of excess generating capacity can be used to meet future electrical needs for Vermont, conservation also can be viewed as a source of electricity. Conservation generally is the least expensive and environmentally benign “source” of electricity.</w:t>
      </w:r>
    </w:p>
    <w:p w:rsidR="002F297A" w:rsidRPr="00277626" w:rsidRDefault="002F297A" w:rsidP="001060EC">
      <w:pPr>
        <w:tabs>
          <w:tab w:val="left" w:pos="1155"/>
        </w:tabs>
        <w:spacing w:after="0" w:line="240" w:lineRule="auto"/>
        <w:rPr>
          <w:u w:val="single"/>
        </w:rPr>
      </w:pPr>
    </w:p>
    <w:p w:rsidR="009F02CA" w:rsidRDefault="00312490" w:rsidP="009F02CA">
      <w:pPr>
        <w:tabs>
          <w:tab w:val="left" w:pos="1155"/>
        </w:tabs>
      </w:pPr>
      <w:r>
        <w:t>TABLE N</w:t>
      </w:r>
      <w:r w:rsidR="009F02CA">
        <w:t>: Renewable generation potential is based on mapping completed by the regional planning commission that is based on the Municipal Determination Standards and associated guidance documents developed by DPS. The renewable generation potential is expressed in MW and MWh by the type of renewable resource (solar, commercial wind, hydro, etc.).</w:t>
      </w:r>
      <w:r w:rsidR="009F02CA">
        <w:tab/>
      </w:r>
      <w:r w:rsidR="009F02CA">
        <w:tab/>
      </w:r>
    </w:p>
    <w:tbl>
      <w:tblPr>
        <w:tblStyle w:val="TableGrid"/>
        <w:tblW w:w="0" w:type="auto"/>
        <w:tblLook w:val="04A0" w:firstRow="1" w:lastRow="0" w:firstColumn="1" w:lastColumn="0" w:noHBand="0" w:noVBand="1"/>
      </w:tblPr>
      <w:tblGrid>
        <w:gridCol w:w="4680"/>
        <w:gridCol w:w="1960"/>
        <w:gridCol w:w="2500"/>
      </w:tblGrid>
      <w:tr w:rsidR="009F02CA" w:rsidRPr="00444EC3" w:rsidTr="009F02CA">
        <w:trPr>
          <w:trHeight w:val="338"/>
        </w:trPr>
        <w:tc>
          <w:tcPr>
            <w:tcW w:w="4680" w:type="dxa"/>
            <w:shd w:val="clear" w:color="auto" w:fill="E2EFD9" w:themeFill="accent6" w:themeFillTint="33"/>
            <w:noWrap/>
            <w:hideMark/>
          </w:tcPr>
          <w:p w:rsidR="009F02CA" w:rsidRPr="00D4023B" w:rsidRDefault="00312490" w:rsidP="00CA50D5">
            <w:pPr>
              <w:tabs>
                <w:tab w:val="left" w:pos="1155"/>
              </w:tabs>
              <w:rPr>
                <w:b/>
                <w:bCs/>
              </w:rPr>
            </w:pPr>
            <w:r>
              <w:rPr>
                <w:b/>
                <w:bCs/>
              </w:rPr>
              <w:t>N</w:t>
            </w:r>
            <w:r w:rsidR="009F02CA" w:rsidRPr="00D4023B">
              <w:rPr>
                <w:b/>
                <w:bCs/>
              </w:rPr>
              <w:t>. Renewable Generation Potential</w:t>
            </w:r>
          </w:p>
        </w:tc>
        <w:tc>
          <w:tcPr>
            <w:tcW w:w="1960" w:type="dxa"/>
            <w:shd w:val="clear" w:color="auto" w:fill="E2EFD9" w:themeFill="accent6" w:themeFillTint="33"/>
            <w:noWrap/>
            <w:hideMark/>
          </w:tcPr>
          <w:p w:rsidR="009F02CA" w:rsidRPr="00444EC3" w:rsidRDefault="009F02CA" w:rsidP="00CA50D5">
            <w:pPr>
              <w:tabs>
                <w:tab w:val="left" w:pos="1155"/>
              </w:tabs>
              <w:rPr>
                <w:b/>
                <w:bCs/>
              </w:rPr>
            </w:pPr>
            <w:r w:rsidRPr="00444EC3">
              <w:rPr>
                <w:b/>
                <w:bCs/>
              </w:rPr>
              <w:t>MW</w:t>
            </w:r>
          </w:p>
        </w:tc>
        <w:tc>
          <w:tcPr>
            <w:tcW w:w="2500" w:type="dxa"/>
            <w:shd w:val="clear" w:color="auto" w:fill="E2EFD9" w:themeFill="accent6" w:themeFillTint="33"/>
            <w:noWrap/>
            <w:hideMark/>
          </w:tcPr>
          <w:p w:rsidR="009F02CA" w:rsidRPr="00444EC3" w:rsidRDefault="009F02CA" w:rsidP="00CA50D5">
            <w:pPr>
              <w:tabs>
                <w:tab w:val="left" w:pos="1155"/>
              </w:tabs>
              <w:rPr>
                <w:b/>
                <w:bCs/>
              </w:rPr>
            </w:pPr>
            <w:r w:rsidRPr="00444EC3">
              <w:rPr>
                <w:b/>
                <w:bCs/>
              </w:rPr>
              <w:t>MWh</w:t>
            </w:r>
          </w:p>
        </w:tc>
      </w:tr>
      <w:tr w:rsidR="009F02CA" w:rsidRPr="009F02CA" w:rsidTr="009F02CA">
        <w:trPr>
          <w:trHeight w:val="300"/>
        </w:trPr>
        <w:tc>
          <w:tcPr>
            <w:tcW w:w="4680" w:type="dxa"/>
            <w:noWrap/>
            <w:hideMark/>
          </w:tcPr>
          <w:p w:rsidR="009F02CA" w:rsidRPr="009F02CA" w:rsidRDefault="009F02CA" w:rsidP="009F02CA">
            <w:pPr>
              <w:rPr>
                <w:rFonts w:ascii="Calibri" w:eastAsia="Times New Roman" w:hAnsi="Calibri" w:cs="Times New Roman"/>
                <w:color w:val="000000"/>
              </w:rPr>
            </w:pPr>
            <w:r w:rsidRPr="009F02CA">
              <w:rPr>
                <w:rFonts w:ascii="Calibri" w:eastAsia="Times New Roman" w:hAnsi="Calibri" w:cs="Times New Roman"/>
                <w:color w:val="000000"/>
              </w:rPr>
              <w:t>Rooftop Solar</w:t>
            </w:r>
          </w:p>
        </w:tc>
        <w:tc>
          <w:tcPr>
            <w:tcW w:w="1960" w:type="dxa"/>
            <w:noWrap/>
            <w:hideMark/>
          </w:tcPr>
          <w:p w:rsidR="009F02CA" w:rsidRPr="009F02CA" w:rsidRDefault="00280FA7" w:rsidP="009F02CA">
            <w:pPr>
              <w:jc w:val="right"/>
              <w:rPr>
                <w:rFonts w:ascii="Calibri" w:eastAsia="Times New Roman" w:hAnsi="Calibri" w:cs="Times New Roman"/>
                <w:color w:val="000000"/>
              </w:rPr>
            </w:pPr>
            <w:r>
              <w:rPr>
                <w:rFonts w:ascii="Calibri" w:eastAsia="Times New Roman" w:hAnsi="Calibri" w:cs="Times New Roman"/>
                <w:color w:val="000000"/>
              </w:rPr>
              <w:t>1</w:t>
            </w:r>
          </w:p>
        </w:tc>
        <w:tc>
          <w:tcPr>
            <w:tcW w:w="2500" w:type="dxa"/>
            <w:noWrap/>
            <w:hideMark/>
          </w:tcPr>
          <w:p w:rsidR="009F02CA" w:rsidRPr="009F02CA" w:rsidRDefault="00280FA7" w:rsidP="009F02CA">
            <w:pPr>
              <w:jc w:val="right"/>
              <w:rPr>
                <w:rFonts w:ascii="Calibri" w:eastAsia="Times New Roman" w:hAnsi="Calibri" w:cs="Times New Roman"/>
                <w:color w:val="000000"/>
              </w:rPr>
            </w:pPr>
            <w:r>
              <w:rPr>
                <w:rFonts w:ascii="Calibri" w:eastAsia="Times New Roman" w:hAnsi="Calibri" w:cs="Times New Roman"/>
                <w:color w:val="000000"/>
              </w:rPr>
              <w:t>1,558</w:t>
            </w:r>
          </w:p>
        </w:tc>
      </w:tr>
      <w:tr w:rsidR="009F02CA" w:rsidRPr="009F02CA" w:rsidTr="009F02CA">
        <w:trPr>
          <w:trHeight w:val="300"/>
        </w:trPr>
        <w:tc>
          <w:tcPr>
            <w:tcW w:w="4680" w:type="dxa"/>
            <w:noWrap/>
            <w:hideMark/>
          </w:tcPr>
          <w:p w:rsidR="009F02CA" w:rsidRPr="009F02CA" w:rsidRDefault="009F02CA" w:rsidP="009F02CA">
            <w:pPr>
              <w:rPr>
                <w:rFonts w:ascii="Calibri" w:eastAsia="Times New Roman" w:hAnsi="Calibri" w:cs="Times New Roman"/>
                <w:color w:val="000000"/>
              </w:rPr>
            </w:pPr>
            <w:r w:rsidRPr="009F02CA">
              <w:rPr>
                <w:rFonts w:ascii="Calibri" w:eastAsia="Times New Roman" w:hAnsi="Calibri" w:cs="Times New Roman"/>
                <w:color w:val="000000"/>
              </w:rPr>
              <w:t>Ground-mounted Solar</w:t>
            </w:r>
          </w:p>
        </w:tc>
        <w:tc>
          <w:tcPr>
            <w:tcW w:w="1960" w:type="dxa"/>
            <w:noWrap/>
            <w:hideMark/>
          </w:tcPr>
          <w:p w:rsidR="009F02CA" w:rsidRPr="009F02CA" w:rsidRDefault="00280FA7" w:rsidP="009F02CA">
            <w:pPr>
              <w:jc w:val="right"/>
              <w:rPr>
                <w:rFonts w:ascii="Calibri" w:eastAsia="Times New Roman" w:hAnsi="Calibri" w:cs="Times New Roman"/>
                <w:color w:val="000000"/>
              </w:rPr>
            </w:pPr>
            <w:r>
              <w:rPr>
                <w:rFonts w:ascii="Calibri" w:eastAsia="Times New Roman" w:hAnsi="Calibri" w:cs="Times New Roman"/>
                <w:color w:val="000000"/>
              </w:rPr>
              <w:t>539</w:t>
            </w:r>
          </w:p>
        </w:tc>
        <w:tc>
          <w:tcPr>
            <w:tcW w:w="2500" w:type="dxa"/>
            <w:noWrap/>
            <w:hideMark/>
          </w:tcPr>
          <w:p w:rsidR="009F02CA" w:rsidRPr="009F02CA" w:rsidRDefault="00280FA7" w:rsidP="009F02CA">
            <w:pPr>
              <w:jc w:val="right"/>
              <w:rPr>
                <w:rFonts w:ascii="Calibri" w:eastAsia="Times New Roman" w:hAnsi="Calibri" w:cs="Times New Roman"/>
                <w:color w:val="000000"/>
              </w:rPr>
            </w:pPr>
            <w:r>
              <w:rPr>
                <w:rFonts w:ascii="Calibri" w:eastAsia="Times New Roman" w:hAnsi="Calibri" w:cs="Times New Roman"/>
                <w:color w:val="000000"/>
              </w:rPr>
              <w:t>661,030</w:t>
            </w:r>
          </w:p>
        </w:tc>
      </w:tr>
      <w:tr w:rsidR="009F02CA" w:rsidRPr="009F02CA" w:rsidTr="009F02CA">
        <w:trPr>
          <w:trHeight w:val="300"/>
        </w:trPr>
        <w:tc>
          <w:tcPr>
            <w:tcW w:w="4680" w:type="dxa"/>
            <w:noWrap/>
            <w:hideMark/>
          </w:tcPr>
          <w:p w:rsidR="009F02CA" w:rsidRPr="009F02CA" w:rsidRDefault="009F02CA" w:rsidP="009F02CA">
            <w:pPr>
              <w:rPr>
                <w:rFonts w:ascii="Calibri" w:eastAsia="Times New Roman" w:hAnsi="Calibri" w:cs="Times New Roman"/>
                <w:color w:val="000000"/>
              </w:rPr>
            </w:pPr>
            <w:r w:rsidRPr="009F02CA">
              <w:rPr>
                <w:rFonts w:ascii="Calibri" w:eastAsia="Times New Roman" w:hAnsi="Calibri" w:cs="Times New Roman"/>
                <w:color w:val="000000"/>
              </w:rPr>
              <w:t>Wind</w:t>
            </w:r>
          </w:p>
        </w:tc>
        <w:tc>
          <w:tcPr>
            <w:tcW w:w="1960" w:type="dxa"/>
            <w:noWrap/>
            <w:hideMark/>
          </w:tcPr>
          <w:p w:rsidR="009F02CA" w:rsidRPr="009F02CA" w:rsidRDefault="00280FA7" w:rsidP="009F02CA">
            <w:pPr>
              <w:jc w:val="right"/>
              <w:rPr>
                <w:rFonts w:ascii="Calibri" w:eastAsia="Times New Roman" w:hAnsi="Calibri" w:cs="Times New Roman"/>
                <w:color w:val="000000"/>
              </w:rPr>
            </w:pPr>
            <w:r>
              <w:rPr>
                <w:rFonts w:ascii="Calibri" w:eastAsia="Times New Roman" w:hAnsi="Calibri" w:cs="Times New Roman"/>
                <w:color w:val="000000"/>
              </w:rPr>
              <w:t>30</w:t>
            </w:r>
          </w:p>
        </w:tc>
        <w:tc>
          <w:tcPr>
            <w:tcW w:w="2500" w:type="dxa"/>
            <w:noWrap/>
            <w:hideMark/>
          </w:tcPr>
          <w:p w:rsidR="009F02CA" w:rsidRPr="009F02CA" w:rsidRDefault="00280FA7" w:rsidP="009F02CA">
            <w:pPr>
              <w:jc w:val="right"/>
              <w:rPr>
                <w:rFonts w:ascii="Calibri" w:eastAsia="Times New Roman" w:hAnsi="Calibri" w:cs="Times New Roman"/>
                <w:color w:val="000000"/>
              </w:rPr>
            </w:pPr>
            <w:r>
              <w:rPr>
                <w:rFonts w:ascii="Calibri" w:eastAsia="Times New Roman" w:hAnsi="Calibri" w:cs="Times New Roman"/>
                <w:color w:val="000000"/>
              </w:rPr>
              <w:t>91,214</w:t>
            </w:r>
          </w:p>
        </w:tc>
      </w:tr>
      <w:tr w:rsidR="009F02CA" w:rsidRPr="009F02CA" w:rsidTr="009F02CA">
        <w:trPr>
          <w:trHeight w:val="300"/>
        </w:trPr>
        <w:tc>
          <w:tcPr>
            <w:tcW w:w="4680" w:type="dxa"/>
            <w:noWrap/>
            <w:hideMark/>
          </w:tcPr>
          <w:p w:rsidR="009F02CA" w:rsidRPr="009F02CA" w:rsidRDefault="009F02CA" w:rsidP="009F02CA">
            <w:pPr>
              <w:rPr>
                <w:rFonts w:ascii="Calibri" w:eastAsia="Times New Roman" w:hAnsi="Calibri" w:cs="Times New Roman"/>
                <w:color w:val="000000"/>
              </w:rPr>
            </w:pPr>
            <w:r w:rsidRPr="009F02CA">
              <w:rPr>
                <w:rFonts w:ascii="Calibri" w:eastAsia="Times New Roman" w:hAnsi="Calibri" w:cs="Times New Roman"/>
                <w:color w:val="000000"/>
              </w:rPr>
              <w:t xml:space="preserve">Hydro </w:t>
            </w:r>
          </w:p>
        </w:tc>
        <w:tc>
          <w:tcPr>
            <w:tcW w:w="1960" w:type="dxa"/>
            <w:noWrap/>
            <w:hideMark/>
          </w:tcPr>
          <w:p w:rsidR="009F02CA" w:rsidRPr="009F02CA" w:rsidRDefault="009F02CA" w:rsidP="009F02CA">
            <w:pPr>
              <w:jc w:val="right"/>
              <w:rPr>
                <w:rFonts w:ascii="Calibri" w:eastAsia="Times New Roman" w:hAnsi="Calibri" w:cs="Times New Roman"/>
                <w:color w:val="000000"/>
              </w:rPr>
            </w:pPr>
            <w:r w:rsidRPr="009F02CA">
              <w:rPr>
                <w:rFonts w:ascii="Calibri" w:eastAsia="Times New Roman" w:hAnsi="Calibri" w:cs="Times New Roman"/>
                <w:color w:val="000000"/>
              </w:rPr>
              <w:t>0</w:t>
            </w:r>
          </w:p>
        </w:tc>
        <w:tc>
          <w:tcPr>
            <w:tcW w:w="2500" w:type="dxa"/>
            <w:noWrap/>
            <w:hideMark/>
          </w:tcPr>
          <w:p w:rsidR="009F02CA" w:rsidRPr="009F02CA" w:rsidRDefault="00280FA7" w:rsidP="009F02CA">
            <w:pPr>
              <w:jc w:val="right"/>
              <w:rPr>
                <w:rFonts w:ascii="Calibri" w:eastAsia="Times New Roman" w:hAnsi="Calibri" w:cs="Times New Roman"/>
                <w:color w:val="000000"/>
              </w:rPr>
            </w:pPr>
            <w:r>
              <w:rPr>
                <w:rFonts w:ascii="Calibri" w:eastAsia="Times New Roman" w:hAnsi="Calibri" w:cs="Times New Roman"/>
                <w:color w:val="000000"/>
              </w:rPr>
              <w:t>39</w:t>
            </w:r>
          </w:p>
        </w:tc>
      </w:tr>
      <w:tr w:rsidR="009F02CA" w:rsidRPr="009F02CA" w:rsidTr="009F02CA">
        <w:trPr>
          <w:trHeight w:val="300"/>
        </w:trPr>
        <w:tc>
          <w:tcPr>
            <w:tcW w:w="4680" w:type="dxa"/>
            <w:noWrap/>
            <w:hideMark/>
          </w:tcPr>
          <w:p w:rsidR="009F02CA" w:rsidRPr="009F02CA" w:rsidRDefault="009F02CA" w:rsidP="009F02CA">
            <w:pPr>
              <w:rPr>
                <w:rFonts w:ascii="Calibri" w:eastAsia="Times New Roman" w:hAnsi="Calibri" w:cs="Times New Roman"/>
                <w:color w:val="000000"/>
              </w:rPr>
            </w:pPr>
            <w:r w:rsidRPr="009F02CA">
              <w:rPr>
                <w:rFonts w:ascii="Calibri" w:eastAsia="Times New Roman" w:hAnsi="Calibri" w:cs="Times New Roman"/>
                <w:color w:val="000000"/>
              </w:rPr>
              <w:t>Biomass and Methane</w:t>
            </w:r>
          </w:p>
        </w:tc>
        <w:tc>
          <w:tcPr>
            <w:tcW w:w="1960" w:type="dxa"/>
            <w:noWrap/>
            <w:hideMark/>
          </w:tcPr>
          <w:p w:rsidR="009F02CA" w:rsidRPr="009F02CA" w:rsidRDefault="009F02CA" w:rsidP="009F02CA">
            <w:pPr>
              <w:jc w:val="right"/>
              <w:rPr>
                <w:rFonts w:ascii="Calibri" w:eastAsia="Times New Roman" w:hAnsi="Calibri" w:cs="Times New Roman"/>
                <w:color w:val="000000"/>
              </w:rPr>
            </w:pPr>
            <w:r w:rsidRPr="009F02CA">
              <w:rPr>
                <w:rFonts w:ascii="Calibri" w:eastAsia="Times New Roman" w:hAnsi="Calibri" w:cs="Times New Roman"/>
                <w:color w:val="000000"/>
              </w:rPr>
              <w:t>0</w:t>
            </w:r>
          </w:p>
        </w:tc>
        <w:tc>
          <w:tcPr>
            <w:tcW w:w="2500" w:type="dxa"/>
            <w:noWrap/>
            <w:hideMark/>
          </w:tcPr>
          <w:p w:rsidR="009F02CA" w:rsidRPr="009F02CA" w:rsidRDefault="009F02CA" w:rsidP="009F02CA">
            <w:pPr>
              <w:jc w:val="right"/>
              <w:rPr>
                <w:rFonts w:ascii="Calibri" w:eastAsia="Times New Roman" w:hAnsi="Calibri" w:cs="Times New Roman"/>
                <w:color w:val="000000"/>
              </w:rPr>
            </w:pPr>
            <w:r w:rsidRPr="009F02CA">
              <w:rPr>
                <w:rFonts w:ascii="Calibri" w:eastAsia="Times New Roman" w:hAnsi="Calibri" w:cs="Times New Roman"/>
                <w:color w:val="000000"/>
              </w:rPr>
              <w:t>0</w:t>
            </w:r>
          </w:p>
        </w:tc>
      </w:tr>
      <w:tr w:rsidR="009F02CA" w:rsidRPr="009F02CA" w:rsidTr="009F02CA">
        <w:trPr>
          <w:trHeight w:val="300"/>
        </w:trPr>
        <w:tc>
          <w:tcPr>
            <w:tcW w:w="4680" w:type="dxa"/>
            <w:noWrap/>
            <w:hideMark/>
          </w:tcPr>
          <w:p w:rsidR="009F02CA" w:rsidRPr="009F02CA" w:rsidRDefault="009F02CA" w:rsidP="009F02CA">
            <w:pPr>
              <w:rPr>
                <w:rFonts w:ascii="Calibri" w:eastAsia="Times New Roman" w:hAnsi="Calibri" w:cs="Times New Roman"/>
                <w:color w:val="000000"/>
              </w:rPr>
            </w:pPr>
            <w:r w:rsidRPr="009F02CA">
              <w:rPr>
                <w:rFonts w:ascii="Calibri" w:eastAsia="Times New Roman" w:hAnsi="Calibri" w:cs="Times New Roman"/>
                <w:color w:val="000000"/>
              </w:rPr>
              <w:t>Other</w:t>
            </w:r>
          </w:p>
        </w:tc>
        <w:tc>
          <w:tcPr>
            <w:tcW w:w="1960" w:type="dxa"/>
            <w:noWrap/>
            <w:hideMark/>
          </w:tcPr>
          <w:p w:rsidR="009F02CA" w:rsidRPr="009F02CA" w:rsidRDefault="009F02CA" w:rsidP="009F02CA">
            <w:pPr>
              <w:jc w:val="right"/>
              <w:rPr>
                <w:rFonts w:ascii="Calibri" w:eastAsia="Times New Roman" w:hAnsi="Calibri" w:cs="Times New Roman"/>
                <w:color w:val="000000"/>
              </w:rPr>
            </w:pPr>
            <w:r w:rsidRPr="009F02CA">
              <w:rPr>
                <w:rFonts w:ascii="Calibri" w:eastAsia="Times New Roman" w:hAnsi="Calibri" w:cs="Times New Roman"/>
                <w:color w:val="000000"/>
              </w:rPr>
              <w:t>0</w:t>
            </w:r>
          </w:p>
        </w:tc>
        <w:tc>
          <w:tcPr>
            <w:tcW w:w="2500" w:type="dxa"/>
            <w:noWrap/>
            <w:hideMark/>
          </w:tcPr>
          <w:p w:rsidR="009F02CA" w:rsidRPr="009F02CA" w:rsidRDefault="009F02CA" w:rsidP="009F02CA">
            <w:pPr>
              <w:jc w:val="right"/>
              <w:rPr>
                <w:rFonts w:ascii="Calibri" w:eastAsia="Times New Roman" w:hAnsi="Calibri" w:cs="Times New Roman"/>
                <w:color w:val="000000"/>
              </w:rPr>
            </w:pPr>
            <w:r w:rsidRPr="009F02CA">
              <w:rPr>
                <w:rFonts w:ascii="Calibri" w:eastAsia="Times New Roman" w:hAnsi="Calibri" w:cs="Times New Roman"/>
                <w:color w:val="000000"/>
              </w:rPr>
              <w:t>0</w:t>
            </w:r>
          </w:p>
        </w:tc>
      </w:tr>
      <w:tr w:rsidR="009F02CA" w:rsidRPr="009F02CA" w:rsidTr="009F02CA">
        <w:trPr>
          <w:trHeight w:val="300"/>
        </w:trPr>
        <w:tc>
          <w:tcPr>
            <w:tcW w:w="4680" w:type="dxa"/>
            <w:noWrap/>
            <w:hideMark/>
          </w:tcPr>
          <w:p w:rsidR="009F02CA" w:rsidRPr="009F02CA" w:rsidRDefault="009F02CA" w:rsidP="009F02CA">
            <w:pPr>
              <w:rPr>
                <w:rFonts w:ascii="Calibri" w:eastAsia="Times New Roman" w:hAnsi="Calibri" w:cs="Times New Roman"/>
                <w:b/>
                <w:bCs/>
                <w:color w:val="000000"/>
              </w:rPr>
            </w:pPr>
            <w:r w:rsidRPr="009F02CA">
              <w:rPr>
                <w:rFonts w:ascii="Calibri" w:eastAsia="Times New Roman" w:hAnsi="Calibri" w:cs="Times New Roman"/>
                <w:b/>
                <w:bCs/>
                <w:color w:val="000000"/>
              </w:rPr>
              <w:t>Total Renewable Generation Potential</w:t>
            </w:r>
          </w:p>
        </w:tc>
        <w:tc>
          <w:tcPr>
            <w:tcW w:w="1960" w:type="dxa"/>
            <w:noWrap/>
            <w:hideMark/>
          </w:tcPr>
          <w:p w:rsidR="009F02CA" w:rsidRPr="009F02CA" w:rsidRDefault="00280FA7" w:rsidP="009F02CA">
            <w:pPr>
              <w:jc w:val="right"/>
              <w:rPr>
                <w:rFonts w:ascii="Calibri" w:eastAsia="Times New Roman" w:hAnsi="Calibri" w:cs="Times New Roman"/>
                <w:color w:val="000000"/>
              </w:rPr>
            </w:pPr>
            <w:r>
              <w:rPr>
                <w:rFonts w:ascii="Calibri" w:eastAsia="Times New Roman" w:hAnsi="Calibri" w:cs="Times New Roman"/>
                <w:color w:val="000000"/>
              </w:rPr>
              <w:t>570</w:t>
            </w:r>
          </w:p>
        </w:tc>
        <w:tc>
          <w:tcPr>
            <w:tcW w:w="2500" w:type="dxa"/>
            <w:noWrap/>
            <w:hideMark/>
          </w:tcPr>
          <w:p w:rsidR="009F02CA" w:rsidRPr="009F02CA" w:rsidRDefault="00280FA7" w:rsidP="009F02CA">
            <w:pPr>
              <w:jc w:val="right"/>
              <w:rPr>
                <w:rFonts w:ascii="Calibri" w:eastAsia="Times New Roman" w:hAnsi="Calibri" w:cs="Times New Roman"/>
                <w:color w:val="000000"/>
              </w:rPr>
            </w:pPr>
            <w:r>
              <w:rPr>
                <w:rFonts w:ascii="Calibri" w:eastAsia="Times New Roman" w:hAnsi="Calibri" w:cs="Times New Roman"/>
                <w:color w:val="000000"/>
              </w:rPr>
              <w:t>753,839</w:t>
            </w:r>
          </w:p>
        </w:tc>
      </w:tr>
    </w:tbl>
    <w:p w:rsidR="00176201" w:rsidRDefault="00176201" w:rsidP="00DC0260">
      <w:pPr>
        <w:tabs>
          <w:tab w:val="left" w:pos="1155"/>
        </w:tabs>
      </w:pPr>
    </w:p>
    <w:p w:rsidR="00DC0260" w:rsidRDefault="00312490" w:rsidP="00DC0260">
      <w:pPr>
        <w:tabs>
          <w:tab w:val="left" w:pos="1155"/>
        </w:tabs>
      </w:pPr>
      <w:r>
        <w:t xml:space="preserve">TABLE O: This target </w:t>
      </w:r>
      <w:r w:rsidR="00DC0260">
        <w:t xml:space="preserve">for </w:t>
      </w:r>
      <w:r w:rsidR="00B53EA6">
        <w:t>Bradford</w:t>
      </w:r>
      <w:r>
        <w:t xml:space="preserve"> represents the amount of renewable energy generation that needs to be developed within town to help meet the overall CEP goals. This target is representative of </w:t>
      </w:r>
      <w:r w:rsidR="007B5A59">
        <w:t>Bradford</w:t>
      </w:r>
      <w:r w:rsidR="00E104E0">
        <w:t>’s population share</w:t>
      </w:r>
      <w:r w:rsidR="00DC0260">
        <w:t xml:space="preserve"> within the region.</w:t>
      </w:r>
      <w:r w:rsidR="00E104E0">
        <w:t xml:space="preserve"> </w:t>
      </w:r>
    </w:p>
    <w:tbl>
      <w:tblPr>
        <w:tblStyle w:val="TableGrid"/>
        <w:tblW w:w="0" w:type="auto"/>
        <w:tblLook w:val="04A0" w:firstRow="1" w:lastRow="0" w:firstColumn="1" w:lastColumn="0" w:noHBand="0" w:noVBand="1"/>
      </w:tblPr>
      <w:tblGrid>
        <w:gridCol w:w="4680"/>
        <w:gridCol w:w="1468"/>
        <w:gridCol w:w="1468"/>
        <w:gridCol w:w="1960"/>
      </w:tblGrid>
      <w:tr w:rsidR="00B53EA6" w:rsidRPr="00444EC3" w:rsidTr="00B53EA6">
        <w:trPr>
          <w:trHeight w:val="300"/>
        </w:trPr>
        <w:tc>
          <w:tcPr>
            <w:tcW w:w="4680" w:type="dxa"/>
            <w:shd w:val="clear" w:color="auto" w:fill="E2EFD9" w:themeFill="accent6" w:themeFillTint="33"/>
            <w:noWrap/>
            <w:hideMark/>
          </w:tcPr>
          <w:p w:rsidR="00B53EA6" w:rsidRPr="00444E3F" w:rsidRDefault="00B53EA6" w:rsidP="00CA50D5">
            <w:pPr>
              <w:tabs>
                <w:tab w:val="left" w:pos="1155"/>
              </w:tabs>
              <w:rPr>
                <w:b/>
                <w:bCs/>
              </w:rPr>
            </w:pPr>
            <w:r>
              <w:rPr>
                <w:b/>
                <w:bCs/>
              </w:rPr>
              <w:t>O</w:t>
            </w:r>
            <w:r w:rsidRPr="00444E3F">
              <w:rPr>
                <w:b/>
                <w:bCs/>
              </w:rPr>
              <w:t>. Renewable Generation Goals</w:t>
            </w:r>
          </w:p>
        </w:tc>
        <w:tc>
          <w:tcPr>
            <w:tcW w:w="1468" w:type="dxa"/>
            <w:shd w:val="clear" w:color="auto" w:fill="E2EFD9" w:themeFill="accent6" w:themeFillTint="33"/>
          </w:tcPr>
          <w:p w:rsidR="00B53EA6" w:rsidRPr="00444E3F" w:rsidRDefault="00B53EA6" w:rsidP="00CA50D5">
            <w:pPr>
              <w:tabs>
                <w:tab w:val="left" w:pos="1155"/>
              </w:tabs>
              <w:rPr>
                <w:b/>
                <w:bCs/>
              </w:rPr>
            </w:pPr>
            <w:r>
              <w:rPr>
                <w:b/>
                <w:bCs/>
              </w:rPr>
              <w:t>2025</w:t>
            </w:r>
          </w:p>
        </w:tc>
        <w:tc>
          <w:tcPr>
            <w:tcW w:w="1468" w:type="dxa"/>
            <w:shd w:val="clear" w:color="auto" w:fill="E2EFD9" w:themeFill="accent6" w:themeFillTint="33"/>
          </w:tcPr>
          <w:p w:rsidR="00B53EA6" w:rsidRPr="00444E3F" w:rsidRDefault="00B53EA6" w:rsidP="00CA50D5">
            <w:pPr>
              <w:tabs>
                <w:tab w:val="left" w:pos="1155"/>
              </w:tabs>
              <w:rPr>
                <w:b/>
                <w:bCs/>
              </w:rPr>
            </w:pPr>
            <w:r>
              <w:rPr>
                <w:b/>
                <w:bCs/>
              </w:rPr>
              <w:t>2035</w:t>
            </w:r>
          </w:p>
        </w:tc>
        <w:tc>
          <w:tcPr>
            <w:tcW w:w="1960" w:type="dxa"/>
            <w:shd w:val="clear" w:color="auto" w:fill="E2EFD9" w:themeFill="accent6" w:themeFillTint="33"/>
            <w:noWrap/>
            <w:hideMark/>
          </w:tcPr>
          <w:p w:rsidR="00B53EA6" w:rsidRPr="00444E3F" w:rsidRDefault="00B53EA6" w:rsidP="00CA50D5">
            <w:pPr>
              <w:tabs>
                <w:tab w:val="left" w:pos="1155"/>
              </w:tabs>
              <w:rPr>
                <w:b/>
                <w:bCs/>
              </w:rPr>
            </w:pPr>
            <w:r w:rsidRPr="00444E3F">
              <w:rPr>
                <w:b/>
                <w:bCs/>
              </w:rPr>
              <w:t>2050</w:t>
            </w:r>
          </w:p>
        </w:tc>
      </w:tr>
      <w:tr w:rsidR="00B53EA6" w:rsidRPr="00444EC3" w:rsidTr="00B53EA6">
        <w:trPr>
          <w:trHeight w:val="300"/>
        </w:trPr>
        <w:tc>
          <w:tcPr>
            <w:tcW w:w="4680" w:type="dxa"/>
            <w:noWrap/>
            <w:hideMark/>
          </w:tcPr>
          <w:p w:rsidR="00B53EA6" w:rsidRPr="00444E3F" w:rsidRDefault="00B53EA6" w:rsidP="00CA50D5">
            <w:pPr>
              <w:tabs>
                <w:tab w:val="left" w:pos="1155"/>
              </w:tabs>
            </w:pPr>
            <w:r w:rsidRPr="00444E3F">
              <w:t>Total Renewable Generation Target (in MWh)</w:t>
            </w:r>
          </w:p>
        </w:tc>
        <w:tc>
          <w:tcPr>
            <w:tcW w:w="1468" w:type="dxa"/>
          </w:tcPr>
          <w:p w:rsidR="00B53EA6" w:rsidRDefault="00B53EA6" w:rsidP="00CA50D5">
            <w:pPr>
              <w:tabs>
                <w:tab w:val="left" w:pos="1155"/>
              </w:tabs>
            </w:pPr>
          </w:p>
        </w:tc>
        <w:tc>
          <w:tcPr>
            <w:tcW w:w="1468" w:type="dxa"/>
          </w:tcPr>
          <w:p w:rsidR="00B53EA6" w:rsidRDefault="00B53EA6" w:rsidP="00CA50D5">
            <w:pPr>
              <w:tabs>
                <w:tab w:val="left" w:pos="1155"/>
              </w:tabs>
            </w:pPr>
          </w:p>
        </w:tc>
        <w:tc>
          <w:tcPr>
            <w:tcW w:w="1960" w:type="dxa"/>
            <w:noWrap/>
            <w:hideMark/>
          </w:tcPr>
          <w:p w:rsidR="00B53EA6" w:rsidRPr="00444E3F" w:rsidRDefault="00B53EA6" w:rsidP="00CA50D5">
            <w:pPr>
              <w:tabs>
                <w:tab w:val="left" w:pos="1155"/>
              </w:tabs>
            </w:pPr>
            <w:r>
              <w:t>15,703-19,193</w:t>
            </w:r>
          </w:p>
        </w:tc>
      </w:tr>
    </w:tbl>
    <w:p w:rsidR="00DC0260" w:rsidRDefault="00DC0260" w:rsidP="00DC0260">
      <w:pPr>
        <w:tabs>
          <w:tab w:val="left" w:pos="1155"/>
        </w:tabs>
      </w:pPr>
    </w:p>
    <w:p w:rsidR="00DC0260" w:rsidRDefault="00312490" w:rsidP="005D019B">
      <w:pPr>
        <w:tabs>
          <w:tab w:val="left" w:pos="1155"/>
        </w:tabs>
        <w:jc w:val="center"/>
      </w:pPr>
      <w:r>
        <w:lastRenderedPageBreak/>
        <w:t>TABLE P</w:t>
      </w:r>
      <w:r w:rsidR="00DC0260">
        <w:t>: This table shows ther</w:t>
      </w:r>
      <w:r>
        <w:t xml:space="preserve">e is sufficient land in </w:t>
      </w:r>
      <w:r w:rsidR="007B5A59">
        <w:t xml:space="preserve">Bradford </w:t>
      </w:r>
      <w:r w:rsidR="00DC0260">
        <w:t xml:space="preserve">to meet the renewable generation targets based on the renewable </w:t>
      </w:r>
      <w:r>
        <w:t xml:space="preserve">generation potential in </w:t>
      </w:r>
      <w:r w:rsidR="007B5A59">
        <w:t>Bradford</w:t>
      </w:r>
      <w:r w:rsidR="00DC0260">
        <w:t xml:space="preserve">. </w:t>
      </w:r>
      <w:r w:rsidR="00DC0260" w:rsidRPr="00576FF6">
        <w:rPr>
          <w:highlight w:val="yellow"/>
        </w:rPr>
        <w:t>Revisit this after mapping</w:t>
      </w:r>
      <w:r w:rsidR="005D019B">
        <w:rPr>
          <w:noProof/>
        </w:rPr>
        <w:drawing>
          <wp:inline distT="0" distB="0" distL="0" distR="0">
            <wp:extent cx="2895600" cy="2895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680"/>
        <w:gridCol w:w="1960"/>
      </w:tblGrid>
      <w:tr w:rsidR="00DC0260" w:rsidRPr="00444EC3" w:rsidTr="00CA50D5">
        <w:trPr>
          <w:trHeight w:val="300"/>
        </w:trPr>
        <w:tc>
          <w:tcPr>
            <w:tcW w:w="4680" w:type="dxa"/>
            <w:shd w:val="clear" w:color="auto" w:fill="E2EFD9" w:themeFill="accent6" w:themeFillTint="33"/>
            <w:noWrap/>
            <w:hideMark/>
          </w:tcPr>
          <w:p w:rsidR="00DC0260" w:rsidRPr="00D4023B" w:rsidRDefault="00312490" w:rsidP="00CA50D5">
            <w:pPr>
              <w:tabs>
                <w:tab w:val="left" w:pos="1155"/>
              </w:tabs>
              <w:rPr>
                <w:b/>
                <w:bCs/>
              </w:rPr>
            </w:pPr>
            <w:r>
              <w:rPr>
                <w:b/>
                <w:bCs/>
              </w:rPr>
              <w:t>P</w:t>
            </w:r>
            <w:r w:rsidR="00DC0260">
              <w:rPr>
                <w:b/>
                <w:bCs/>
              </w:rPr>
              <w:t>. Sufficient Land to Meet Generation Goals?</w:t>
            </w:r>
          </w:p>
        </w:tc>
        <w:tc>
          <w:tcPr>
            <w:tcW w:w="1960" w:type="dxa"/>
            <w:shd w:val="clear" w:color="auto" w:fill="E2EFD9" w:themeFill="accent6" w:themeFillTint="33"/>
            <w:noWrap/>
            <w:hideMark/>
          </w:tcPr>
          <w:p w:rsidR="00DC0260" w:rsidRPr="00D4023B" w:rsidRDefault="00DC0260" w:rsidP="00CA50D5">
            <w:pPr>
              <w:tabs>
                <w:tab w:val="left" w:pos="1155"/>
              </w:tabs>
              <w:rPr>
                <w:b/>
                <w:bCs/>
              </w:rPr>
            </w:pPr>
            <w:r w:rsidRPr="00D4023B">
              <w:rPr>
                <w:b/>
                <w:bCs/>
              </w:rPr>
              <w:t>Y/N</w:t>
            </w:r>
          </w:p>
        </w:tc>
      </w:tr>
      <w:tr w:rsidR="00DC0260" w:rsidRPr="00444EC3" w:rsidTr="00CA50D5">
        <w:trPr>
          <w:trHeight w:val="300"/>
        </w:trPr>
        <w:tc>
          <w:tcPr>
            <w:tcW w:w="4680" w:type="dxa"/>
            <w:noWrap/>
            <w:hideMark/>
          </w:tcPr>
          <w:p w:rsidR="00DC0260" w:rsidRPr="00444EC3" w:rsidRDefault="00DC0260" w:rsidP="00CA50D5">
            <w:pPr>
              <w:tabs>
                <w:tab w:val="left" w:pos="1155"/>
              </w:tabs>
            </w:pPr>
            <w:r w:rsidRPr="00444EC3">
              <w:t>Renewable Sources</w:t>
            </w:r>
          </w:p>
        </w:tc>
        <w:tc>
          <w:tcPr>
            <w:tcW w:w="1960" w:type="dxa"/>
            <w:noWrap/>
            <w:hideMark/>
          </w:tcPr>
          <w:p w:rsidR="00DC0260" w:rsidRPr="00444EC3" w:rsidRDefault="00DC0260" w:rsidP="00CA50D5">
            <w:pPr>
              <w:tabs>
                <w:tab w:val="left" w:pos="1155"/>
              </w:tabs>
            </w:pPr>
            <w:r w:rsidRPr="00444EC3">
              <w:t>Y</w:t>
            </w:r>
          </w:p>
        </w:tc>
      </w:tr>
      <w:tr w:rsidR="00DC0260" w:rsidRPr="00444EC3" w:rsidTr="00CA50D5">
        <w:trPr>
          <w:trHeight w:val="300"/>
        </w:trPr>
        <w:tc>
          <w:tcPr>
            <w:tcW w:w="4680" w:type="dxa"/>
            <w:noWrap/>
            <w:hideMark/>
          </w:tcPr>
          <w:p w:rsidR="00DC0260" w:rsidRPr="00444EC3" w:rsidRDefault="00DC0260" w:rsidP="00CA50D5">
            <w:pPr>
              <w:tabs>
                <w:tab w:val="left" w:pos="1155"/>
              </w:tabs>
            </w:pPr>
            <w:r w:rsidRPr="00444EC3">
              <w:t>Surplus of Generation</w:t>
            </w:r>
          </w:p>
        </w:tc>
        <w:tc>
          <w:tcPr>
            <w:tcW w:w="1960" w:type="dxa"/>
            <w:noWrap/>
            <w:hideMark/>
          </w:tcPr>
          <w:p w:rsidR="00DC0260" w:rsidRPr="00444EC3" w:rsidRDefault="00280FA7" w:rsidP="00CA50D5">
            <w:pPr>
              <w:tabs>
                <w:tab w:val="left" w:pos="1155"/>
              </w:tabs>
            </w:pPr>
            <w:r w:rsidRPr="009E0F17">
              <w:rPr>
                <w:highlight w:val="yellow"/>
              </w:rPr>
              <w:t>4</w:t>
            </w:r>
            <w:r w:rsidR="002C2B53" w:rsidRPr="009E0F17">
              <w:rPr>
                <w:highlight w:val="yellow"/>
              </w:rPr>
              <w:t>,</w:t>
            </w:r>
            <w:r w:rsidRPr="009E0F17">
              <w:rPr>
                <w:highlight w:val="yellow"/>
              </w:rPr>
              <w:t>220%</w:t>
            </w:r>
          </w:p>
        </w:tc>
      </w:tr>
    </w:tbl>
    <w:p w:rsidR="00DC0260" w:rsidRDefault="00DC0260" w:rsidP="00CE3302">
      <w:pPr>
        <w:spacing w:after="0"/>
        <w:rPr>
          <w:sz w:val="28"/>
          <w:szCs w:val="28"/>
        </w:rPr>
      </w:pPr>
    </w:p>
    <w:p w:rsidR="00861599" w:rsidRDefault="00861599" w:rsidP="00CE3302">
      <w:pPr>
        <w:pStyle w:val="Heading2"/>
        <w:spacing w:before="0"/>
      </w:pPr>
      <w:bookmarkStart w:id="1" w:name="_Toc503860656"/>
      <w:r>
        <w:t>Goals, Policies and Recommendations</w:t>
      </w:r>
      <w:bookmarkEnd w:id="1"/>
    </w:p>
    <w:p w:rsidR="00C62EB9" w:rsidRPr="00481591" w:rsidRDefault="00861599" w:rsidP="00861599">
      <w:pPr>
        <w:pStyle w:val="GoalsPolicies"/>
        <w:rPr>
          <w:rFonts w:asciiTheme="minorHAnsi" w:eastAsiaTheme="minorHAnsi" w:hAnsiTheme="minorHAnsi" w:cstheme="minorBidi"/>
        </w:rPr>
      </w:pPr>
      <w:r w:rsidRPr="00481591">
        <w:rPr>
          <w:rFonts w:asciiTheme="minorHAnsi" w:eastAsiaTheme="minorHAnsi" w:hAnsiTheme="minorHAnsi" w:cstheme="minorBidi"/>
        </w:rPr>
        <w:t>Goals</w:t>
      </w:r>
    </w:p>
    <w:p w:rsidR="00C62EB9" w:rsidRPr="008D4CB6" w:rsidRDefault="00C62EB9" w:rsidP="00C62EB9">
      <w:pPr>
        <w:pStyle w:val="ListParagraph"/>
        <w:numPr>
          <w:ilvl w:val="0"/>
          <w:numId w:val="6"/>
        </w:numPr>
        <w:rPr>
          <w:rFonts w:asciiTheme="minorHAnsi" w:eastAsiaTheme="minorHAnsi" w:hAnsiTheme="minorHAnsi" w:cstheme="minorBidi"/>
          <w:sz w:val="22"/>
          <w:szCs w:val="22"/>
        </w:rPr>
      </w:pPr>
      <w:r w:rsidRPr="008D4CB6">
        <w:rPr>
          <w:rFonts w:asciiTheme="minorHAnsi" w:eastAsiaTheme="minorHAnsi" w:hAnsiTheme="minorHAnsi" w:cstheme="minorBidi"/>
          <w:sz w:val="22"/>
          <w:szCs w:val="22"/>
        </w:rPr>
        <w:t>To increase energy efficiency in the Town of Bradford.</w:t>
      </w:r>
    </w:p>
    <w:p w:rsidR="00C62EB9" w:rsidRPr="008D4CB6" w:rsidRDefault="00C62EB9" w:rsidP="00C62EB9">
      <w:pPr>
        <w:pStyle w:val="ListParagraph"/>
        <w:numPr>
          <w:ilvl w:val="0"/>
          <w:numId w:val="6"/>
        </w:numPr>
        <w:rPr>
          <w:rFonts w:asciiTheme="minorHAnsi" w:eastAsiaTheme="minorHAnsi" w:hAnsiTheme="minorHAnsi" w:cstheme="minorBidi"/>
          <w:sz w:val="22"/>
          <w:szCs w:val="22"/>
        </w:rPr>
      </w:pPr>
      <w:r w:rsidRPr="008D4CB6">
        <w:rPr>
          <w:rFonts w:asciiTheme="minorHAnsi" w:eastAsiaTheme="minorHAnsi" w:hAnsiTheme="minorHAnsi" w:cstheme="minorBidi"/>
          <w:sz w:val="22"/>
          <w:szCs w:val="22"/>
        </w:rPr>
        <w:t xml:space="preserve">To decrease the use of non-renewable energy resources, while increasing the use </w:t>
      </w:r>
    </w:p>
    <w:p w:rsidR="00C62EB9" w:rsidRPr="008D4CB6" w:rsidRDefault="00C62EB9" w:rsidP="00C62EB9">
      <w:pPr>
        <w:pStyle w:val="ListParagraph"/>
        <w:rPr>
          <w:rFonts w:asciiTheme="minorHAnsi" w:eastAsiaTheme="minorHAnsi" w:hAnsiTheme="minorHAnsi" w:cstheme="minorBidi"/>
          <w:sz w:val="22"/>
          <w:szCs w:val="22"/>
        </w:rPr>
      </w:pPr>
      <w:r w:rsidRPr="008D4CB6">
        <w:rPr>
          <w:rFonts w:asciiTheme="minorHAnsi" w:eastAsiaTheme="minorHAnsi" w:hAnsiTheme="minorHAnsi" w:cstheme="minorBidi"/>
          <w:sz w:val="22"/>
          <w:szCs w:val="22"/>
        </w:rPr>
        <w:t>of renewable energy resources, particularly those of sustainable local origin.</w:t>
      </w:r>
    </w:p>
    <w:p w:rsidR="00C62EB9" w:rsidRPr="008D4CB6" w:rsidRDefault="00C62EB9" w:rsidP="00C62EB9">
      <w:pPr>
        <w:pStyle w:val="ListParagraph"/>
        <w:numPr>
          <w:ilvl w:val="0"/>
          <w:numId w:val="6"/>
        </w:numPr>
        <w:rPr>
          <w:rFonts w:asciiTheme="minorHAnsi" w:eastAsiaTheme="minorHAnsi" w:hAnsiTheme="minorHAnsi" w:cstheme="minorBidi"/>
          <w:sz w:val="22"/>
          <w:szCs w:val="22"/>
        </w:rPr>
      </w:pPr>
      <w:r w:rsidRPr="008D4CB6">
        <w:rPr>
          <w:rFonts w:asciiTheme="minorHAnsi" w:eastAsiaTheme="minorHAnsi" w:hAnsiTheme="minorHAnsi" w:cstheme="minorBidi"/>
          <w:sz w:val="22"/>
          <w:szCs w:val="22"/>
        </w:rPr>
        <w:t>To reduce energy consumption in all Town and school buildings.</w:t>
      </w:r>
    </w:p>
    <w:p w:rsidR="00C62EB9" w:rsidRPr="008D4CB6" w:rsidRDefault="00C62EB9" w:rsidP="00C62EB9">
      <w:pPr>
        <w:pStyle w:val="ListParagraph"/>
        <w:numPr>
          <w:ilvl w:val="0"/>
          <w:numId w:val="6"/>
        </w:numPr>
        <w:rPr>
          <w:rFonts w:asciiTheme="minorHAnsi" w:eastAsiaTheme="minorHAnsi" w:hAnsiTheme="minorHAnsi" w:cstheme="minorBidi"/>
          <w:sz w:val="22"/>
          <w:szCs w:val="22"/>
        </w:rPr>
      </w:pPr>
      <w:r w:rsidRPr="008D4CB6">
        <w:rPr>
          <w:rFonts w:asciiTheme="minorHAnsi" w:eastAsiaTheme="minorHAnsi" w:hAnsiTheme="minorHAnsi" w:cstheme="minorBidi"/>
          <w:sz w:val="22"/>
          <w:szCs w:val="22"/>
        </w:rPr>
        <w:t>To reduce greenhouse gas emissions, acid rain precursor, and other environmental toxins.</w:t>
      </w:r>
    </w:p>
    <w:p w:rsidR="00C62EB9" w:rsidRPr="008D4CB6" w:rsidRDefault="00C62EB9" w:rsidP="00C62EB9">
      <w:pPr>
        <w:pStyle w:val="ListParagraph"/>
        <w:numPr>
          <w:ilvl w:val="0"/>
          <w:numId w:val="6"/>
        </w:numPr>
        <w:rPr>
          <w:rFonts w:asciiTheme="minorHAnsi" w:eastAsiaTheme="minorHAnsi" w:hAnsiTheme="minorHAnsi" w:cstheme="minorBidi"/>
          <w:sz w:val="22"/>
          <w:szCs w:val="22"/>
        </w:rPr>
      </w:pPr>
      <w:r w:rsidRPr="008D4CB6">
        <w:rPr>
          <w:rFonts w:asciiTheme="minorHAnsi" w:eastAsiaTheme="minorHAnsi" w:hAnsiTheme="minorHAnsi" w:cstheme="minorBidi"/>
          <w:sz w:val="22"/>
          <w:szCs w:val="22"/>
        </w:rPr>
        <w:t>To encourage patterns of land use and development that use energy most efficiently, and that do not increase the use of non-renewable energy.</w:t>
      </w:r>
    </w:p>
    <w:p w:rsidR="00C62EB9" w:rsidRPr="008D4CB6" w:rsidRDefault="00C62EB9" w:rsidP="00C62EB9">
      <w:pPr>
        <w:pStyle w:val="ListParagraph"/>
        <w:numPr>
          <w:ilvl w:val="0"/>
          <w:numId w:val="6"/>
        </w:numPr>
        <w:rPr>
          <w:rFonts w:asciiTheme="minorHAnsi" w:eastAsiaTheme="minorHAnsi" w:hAnsiTheme="minorHAnsi" w:cstheme="minorBidi"/>
          <w:sz w:val="22"/>
          <w:szCs w:val="22"/>
        </w:rPr>
      </w:pPr>
      <w:r w:rsidRPr="008D4CB6">
        <w:rPr>
          <w:rFonts w:asciiTheme="minorHAnsi" w:eastAsiaTheme="minorHAnsi" w:hAnsiTheme="minorHAnsi" w:cstheme="minorBidi"/>
          <w:sz w:val="22"/>
          <w:szCs w:val="22"/>
        </w:rPr>
        <w:t>To promote the construction of energy efficient homes and buildings to lessen or postpone the need for sources of costly additional energy.</w:t>
      </w:r>
    </w:p>
    <w:p w:rsidR="00C62EB9" w:rsidRPr="008D4CB6" w:rsidRDefault="00C62EB9" w:rsidP="00C62EB9">
      <w:pPr>
        <w:pStyle w:val="ListParagraph"/>
        <w:numPr>
          <w:ilvl w:val="0"/>
          <w:numId w:val="6"/>
        </w:numPr>
        <w:rPr>
          <w:rFonts w:asciiTheme="minorHAnsi" w:eastAsiaTheme="minorHAnsi" w:hAnsiTheme="minorHAnsi" w:cstheme="minorBidi"/>
          <w:sz w:val="22"/>
          <w:szCs w:val="22"/>
        </w:rPr>
      </w:pPr>
      <w:r w:rsidRPr="008D4CB6">
        <w:rPr>
          <w:rFonts w:asciiTheme="minorHAnsi" w:eastAsiaTheme="minorHAnsi" w:hAnsiTheme="minorHAnsi" w:cstheme="minorBidi"/>
          <w:sz w:val="22"/>
          <w:szCs w:val="22"/>
        </w:rPr>
        <w:t>To increase the use of public transportation in coordination with other modes of transport, including electric vehicles.</w:t>
      </w:r>
    </w:p>
    <w:p w:rsidR="00C62EB9" w:rsidRPr="008D4CB6" w:rsidRDefault="00C62EB9" w:rsidP="00C62EB9">
      <w:pPr>
        <w:pStyle w:val="ListParagraph"/>
        <w:numPr>
          <w:ilvl w:val="0"/>
          <w:numId w:val="6"/>
        </w:numPr>
        <w:rPr>
          <w:rFonts w:asciiTheme="minorHAnsi" w:eastAsiaTheme="minorHAnsi" w:hAnsiTheme="minorHAnsi" w:cstheme="minorBidi"/>
          <w:sz w:val="22"/>
          <w:szCs w:val="22"/>
        </w:rPr>
      </w:pPr>
      <w:r w:rsidRPr="008D4CB6">
        <w:rPr>
          <w:rFonts w:asciiTheme="minorHAnsi" w:eastAsiaTheme="minorHAnsi" w:hAnsiTheme="minorHAnsi" w:cstheme="minorBidi"/>
          <w:sz w:val="22"/>
          <w:szCs w:val="22"/>
        </w:rPr>
        <w:t>To increase the use of non-motorized transportation.</w:t>
      </w:r>
    </w:p>
    <w:p w:rsidR="00C62EB9" w:rsidRPr="008D4CB6" w:rsidRDefault="00C62EB9" w:rsidP="00C62EB9">
      <w:pPr>
        <w:pStyle w:val="ListParagraph"/>
        <w:numPr>
          <w:ilvl w:val="0"/>
          <w:numId w:val="6"/>
        </w:numPr>
        <w:rPr>
          <w:rFonts w:asciiTheme="minorHAnsi" w:eastAsiaTheme="minorHAnsi" w:hAnsiTheme="minorHAnsi" w:cstheme="minorBidi"/>
          <w:sz w:val="22"/>
          <w:szCs w:val="22"/>
        </w:rPr>
      </w:pPr>
      <w:r w:rsidRPr="008D4CB6">
        <w:rPr>
          <w:rFonts w:asciiTheme="minorHAnsi" w:eastAsiaTheme="minorHAnsi" w:hAnsiTheme="minorHAnsi" w:cstheme="minorBidi"/>
          <w:sz w:val="22"/>
          <w:szCs w:val="22"/>
        </w:rPr>
        <w:t>To participate in regional and statewide strategies and approval processes which reduce the requirement for non-renewable energy.</w:t>
      </w:r>
    </w:p>
    <w:p w:rsidR="00C62EB9" w:rsidRPr="008D4CB6" w:rsidRDefault="00C62EB9" w:rsidP="00C62EB9">
      <w:pPr>
        <w:pStyle w:val="ListParagraph"/>
        <w:numPr>
          <w:ilvl w:val="0"/>
          <w:numId w:val="6"/>
        </w:numPr>
        <w:rPr>
          <w:rFonts w:asciiTheme="minorHAnsi" w:eastAsiaTheme="minorHAnsi" w:hAnsiTheme="minorHAnsi" w:cstheme="minorBidi"/>
          <w:sz w:val="22"/>
          <w:szCs w:val="22"/>
        </w:rPr>
      </w:pPr>
      <w:r w:rsidRPr="008D4CB6">
        <w:rPr>
          <w:rFonts w:asciiTheme="minorHAnsi" w:eastAsiaTheme="minorHAnsi" w:hAnsiTheme="minorHAnsi" w:cstheme="minorBidi"/>
          <w:sz w:val="22"/>
          <w:szCs w:val="22"/>
        </w:rPr>
        <w:t>To increase awareness and use of energy conservation practices.</w:t>
      </w:r>
    </w:p>
    <w:p w:rsidR="00861599" w:rsidRPr="00481591" w:rsidRDefault="00861599" w:rsidP="00861599">
      <w:pPr>
        <w:pStyle w:val="GoalsPolicies"/>
        <w:rPr>
          <w:rFonts w:asciiTheme="minorHAnsi" w:eastAsiaTheme="minorHAnsi" w:hAnsiTheme="minorHAnsi" w:cstheme="minorBidi"/>
        </w:rPr>
      </w:pPr>
      <w:r w:rsidRPr="008D4CB6">
        <w:rPr>
          <w:rFonts w:asciiTheme="minorHAnsi" w:eastAsiaTheme="minorHAnsi" w:hAnsiTheme="minorHAnsi" w:cstheme="minorBidi"/>
          <w:b w:val="0"/>
          <w:sz w:val="22"/>
          <w:szCs w:val="22"/>
        </w:rPr>
        <w:br/>
      </w:r>
      <w:r w:rsidRPr="00481591">
        <w:rPr>
          <w:rFonts w:asciiTheme="minorHAnsi" w:eastAsiaTheme="minorHAnsi" w:hAnsiTheme="minorHAnsi" w:cstheme="minorBidi"/>
        </w:rPr>
        <w:t>Policies</w:t>
      </w:r>
    </w:p>
    <w:p w:rsidR="00A47853" w:rsidRDefault="00A47853" w:rsidP="00861599">
      <w:pPr>
        <w:pStyle w:val="BodyText"/>
        <w:numPr>
          <w:ilvl w:val="0"/>
          <w:numId w:val="3"/>
        </w:numPr>
        <w:contextualSpacing/>
        <w:jc w:val="left"/>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It is the policy of the Town of Bradford to reduce energy consumption in all municipal activities, including buildings, transportation, and Town services.</w:t>
      </w:r>
    </w:p>
    <w:p w:rsidR="00861599" w:rsidRPr="008D4CB6" w:rsidRDefault="00861599" w:rsidP="00861599">
      <w:pPr>
        <w:pStyle w:val="BodyText"/>
        <w:numPr>
          <w:ilvl w:val="0"/>
          <w:numId w:val="3"/>
        </w:numPr>
        <w:contextualSpacing/>
        <w:jc w:val="left"/>
        <w:rPr>
          <w:rFonts w:asciiTheme="minorHAnsi" w:eastAsiaTheme="minorHAnsi" w:hAnsiTheme="minorHAnsi" w:cstheme="minorBidi"/>
          <w:sz w:val="22"/>
          <w:szCs w:val="22"/>
          <w:lang w:val="en-US" w:eastAsia="en-US"/>
        </w:rPr>
      </w:pPr>
      <w:r w:rsidRPr="008D4CB6">
        <w:rPr>
          <w:rFonts w:asciiTheme="minorHAnsi" w:eastAsiaTheme="minorHAnsi" w:hAnsiTheme="minorHAnsi" w:cstheme="minorBidi"/>
          <w:sz w:val="22"/>
          <w:szCs w:val="22"/>
          <w:lang w:val="en-US" w:eastAsia="en-US"/>
        </w:rPr>
        <w:lastRenderedPageBreak/>
        <w:t>It is the policy of the Town to participate in the Public Utility Commission’s Certificate of Public Good application process to ensure that local energy, resource conservation, and development objectives are identified and considered in future utility development.</w:t>
      </w:r>
    </w:p>
    <w:p w:rsidR="00A47853" w:rsidRDefault="00861599" w:rsidP="00CA50D5">
      <w:pPr>
        <w:pStyle w:val="BodyText"/>
        <w:numPr>
          <w:ilvl w:val="0"/>
          <w:numId w:val="4"/>
        </w:numPr>
        <w:contextualSpacing/>
        <w:jc w:val="left"/>
        <w:rPr>
          <w:rFonts w:asciiTheme="minorHAnsi" w:eastAsiaTheme="minorHAnsi" w:hAnsiTheme="minorHAnsi" w:cstheme="minorBidi"/>
          <w:sz w:val="22"/>
          <w:szCs w:val="22"/>
          <w:lang w:val="en-US" w:eastAsia="en-US"/>
        </w:rPr>
      </w:pPr>
      <w:r w:rsidRPr="00A47853">
        <w:rPr>
          <w:rFonts w:asciiTheme="minorHAnsi" w:eastAsiaTheme="minorHAnsi" w:hAnsiTheme="minorHAnsi" w:cstheme="minorBidi"/>
          <w:sz w:val="22"/>
          <w:szCs w:val="22"/>
          <w:lang w:val="en-US" w:eastAsia="en-US"/>
        </w:rPr>
        <w:t>It is the policy of the Town that any commercial energy generation facility proposed in Bradford should be developed so as to avoid negative impacts on the rural character</w:t>
      </w:r>
      <w:r w:rsidR="00CE3302" w:rsidRPr="00A47853">
        <w:rPr>
          <w:rFonts w:asciiTheme="minorHAnsi" w:eastAsiaTheme="minorHAnsi" w:hAnsiTheme="minorHAnsi" w:cstheme="minorBidi"/>
          <w:sz w:val="22"/>
          <w:szCs w:val="22"/>
          <w:lang w:val="en-US" w:eastAsia="en-US"/>
        </w:rPr>
        <w:t>, water quality, or habitat</w:t>
      </w:r>
      <w:r w:rsidRPr="00A47853">
        <w:rPr>
          <w:rFonts w:asciiTheme="minorHAnsi" w:eastAsiaTheme="minorHAnsi" w:hAnsiTheme="minorHAnsi" w:cstheme="minorBidi"/>
          <w:sz w:val="22"/>
          <w:szCs w:val="22"/>
          <w:lang w:val="en-US" w:eastAsia="en-US"/>
        </w:rPr>
        <w:t xml:space="preserve"> of the area in which they are proposed to be located.  Developers should make all possible efforts to minimize damage to important natural areas as identified in the Natural Resource section of this Plan.  Additionally, such facilities should be located as close to existing roads as possible to avoid any increase in the services provided by the town. </w:t>
      </w:r>
    </w:p>
    <w:p w:rsidR="00861599" w:rsidRPr="00A47853" w:rsidRDefault="00861599" w:rsidP="00CA50D5">
      <w:pPr>
        <w:pStyle w:val="BodyText"/>
        <w:numPr>
          <w:ilvl w:val="0"/>
          <w:numId w:val="4"/>
        </w:numPr>
        <w:contextualSpacing/>
        <w:jc w:val="left"/>
        <w:rPr>
          <w:rFonts w:asciiTheme="minorHAnsi" w:eastAsiaTheme="minorHAnsi" w:hAnsiTheme="minorHAnsi" w:cstheme="minorBidi"/>
          <w:sz w:val="22"/>
          <w:szCs w:val="22"/>
          <w:lang w:val="en-US" w:eastAsia="en-US"/>
        </w:rPr>
      </w:pPr>
      <w:r w:rsidRPr="00A47853">
        <w:rPr>
          <w:rFonts w:asciiTheme="minorHAnsi" w:eastAsiaTheme="minorHAnsi" w:hAnsiTheme="minorHAnsi" w:cstheme="minorBidi"/>
          <w:sz w:val="22"/>
          <w:szCs w:val="22"/>
          <w:lang w:val="en-US" w:eastAsia="en-US"/>
        </w:rPr>
        <w:t>It is the policy of the Town that generation, transmission, and distribution facilities or service areas shall be encouraged only when they complement the recommended land use patterns set forth in this plan</w:t>
      </w:r>
      <w:r w:rsidR="00A47853" w:rsidRPr="00A47853">
        <w:rPr>
          <w:rFonts w:asciiTheme="minorHAnsi" w:eastAsiaTheme="minorHAnsi" w:hAnsiTheme="minorHAnsi" w:cstheme="minorBidi"/>
          <w:sz w:val="22"/>
          <w:szCs w:val="22"/>
          <w:lang w:val="en-US" w:eastAsia="en-US"/>
        </w:rPr>
        <w:t xml:space="preserve"> and can demonstrate that such pubic investments are justified to improve efficiency and promote energy conservation for the consumer and for the Town.</w:t>
      </w:r>
    </w:p>
    <w:p w:rsidR="00861599" w:rsidRDefault="00861599" w:rsidP="00861599">
      <w:pPr>
        <w:pStyle w:val="BodyText"/>
        <w:numPr>
          <w:ilvl w:val="0"/>
          <w:numId w:val="4"/>
        </w:numPr>
        <w:contextualSpacing/>
        <w:jc w:val="left"/>
        <w:rPr>
          <w:rFonts w:asciiTheme="minorHAnsi" w:eastAsiaTheme="minorHAnsi" w:hAnsiTheme="minorHAnsi" w:cstheme="minorBidi"/>
          <w:sz w:val="22"/>
          <w:szCs w:val="22"/>
          <w:lang w:val="en-US" w:eastAsia="en-US"/>
        </w:rPr>
      </w:pPr>
      <w:r w:rsidRPr="008D4CB6">
        <w:rPr>
          <w:rFonts w:asciiTheme="minorHAnsi" w:eastAsiaTheme="minorHAnsi" w:hAnsiTheme="minorHAnsi" w:cstheme="minorBidi"/>
          <w:sz w:val="22"/>
          <w:szCs w:val="22"/>
          <w:lang w:val="en-US" w:eastAsia="en-US"/>
        </w:rPr>
        <w:t xml:space="preserve">It is the policy of the Town to support the development and use of renewable energy resources including, but not limited to solar, biomass, </w:t>
      </w:r>
      <w:r w:rsidR="00CE3302">
        <w:rPr>
          <w:rFonts w:asciiTheme="minorHAnsi" w:eastAsiaTheme="minorHAnsi" w:hAnsiTheme="minorHAnsi" w:cstheme="minorBidi"/>
          <w:sz w:val="22"/>
          <w:szCs w:val="22"/>
          <w:lang w:val="en-US" w:eastAsia="en-US"/>
        </w:rPr>
        <w:t xml:space="preserve">wind, </w:t>
      </w:r>
      <w:r w:rsidRPr="008D4CB6">
        <w:rPr>
          <w:rFonts w:asciiTheme="minorHAnsi" w:eastAsiaTheme="minorHAnsi" w:hAnsiTheme="minorHAnsi" w:cstheme="minorBidi"/>
          <w:sz w:val="22"/>
          <w:szCs w:val="22"/>
          <w:lang w:val="en-US" w:eastAsia="en-US"/>
        </w:rPr>
        <w:t>micro-hydro and biofuels – at an appropriate scale; that enhances energy system capacity and security; that promotes cleaner and more affordable energy technologies; that increases the locally available energy options; and that avoids undue adverse impacts of energy development on the local community and environment.</w:t>
      </w:r>
    </w:p>
    <w:p w:rsidR="00A47853" w:rsidRDefault="00A47853" w:rsidP="00861599">
      <w:pPr>
        <w:pStyle w:val="BodyText"/>
        <w:numPr>
          <w:ilvl w:val="0"/>
          <w:numId w:val="4"/>
        </w:numPr>
        <w:contextualSpacing/>
        <w:jc w:val="left"/>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It is the policy of the Town to have the maximum tower height for net-metered or similar off-grid wind energy facility to not exceed 125 feet in total height.</w:t>
      </w:r>
    </w:p>
    <w:p w:rsidR="00A47853" w:rsidRDefault="00A47853" w:rsidP="00861599">
      <w:pPr>
        <w:pStyle w:val="BodyText"/>
        <w:numPr>
          <w:ilvl w:val="0"/>
          <w:numId w:val="4"/>
        </w:numPr>
        <w:contextualSpacing/>
        <w:jc w:val="left"/>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It is the policy of the town that power generating facilities and accessory structures must meet the minimum setback requirements for the zoning area in which they are located.</w:t>
      </w:r>
    </w:p>
    <w:p w:rsidR="00A47853" w:rsidRDefault="00A47853" w:rsidP="00861599">
      <w:pPr>
        <w:pStyle w:val="BodyText"/>
        <w:numPr>
          <w:ilvl w:val="0"/>
          <w:numId w:val="4"/>
        </w:numPr>
        <w:contextualSpacing/>
        <w:jc w:val="left"/>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It is the policy of the Town that ground mounted solar and wind generation facilities shall not be located within the 100</w:t>
      </w:r>
      <w:r w:rsidR="00C27FD5">
        <w:rPr>
          <w:rFonts w:asciiTheme="minorHAnsi" w:eastAsiaTheme="minorHAnsi" w:hAnsiTheme="minorHAnsi" w:cstheme="minorBidi"/>
          <w:sz w:val="22"/>
          <w:szCs w:val="22"/>
          <w:lang w:val="en-US" w:eastAsia="en-US"/>
        </w:rPr>
        <w:t>-</w:t>
      </w:r>
      <w:r>
        <w:rPr>
          <w:rFonts w:asciiTheme="minorHAnsi" w:eastAsiaTheme="minorHAnsi" w:hAnsiTheme="minorHAnsi" w:cstheme="minorBidi"/>
          <w:sz w:val="22"/>
          <w:szCs w:val="22"/>
          <w:lang w:val="en-US" w:eastAsia="en-US"/>
        </w:rPr>
        <w:t>year flood hazard area or fluvial erosion hazard area or within 50 feet from the top of bank of any watercourse.</w:t>
      </w:r>
    </w:p>
    <w:p w:rsidR="00C27FD5" w:rsidRPr="008D4CB6" w:rsidRDefault="00C27FD5" w:rsidP="00861599">
      <w:pPr>
        <w:pStyle w:val="BodyText"/>
        <w:numPr>
          <w:ilvl w:val="0"/>
          <w:numId w:val="4"/>
        </w:numPr>
        <w:contextualSpacing/>
        <w:jc w:val="left"/>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Expansion and efficiency improvements to the Waits River Dam hydro generators and transmission facilities are encouraged where such investments clearly benefit Town residents.</w:t>
      </w:r>
    </w:p>
    <w:p w:rsidR="00861599" w:rsidRPr="008D4CB6" w:rsidRDefault="00861599" w:rsidP="00861599">
      <w:pPr>
        <w:pStyle w:val="BodyText"/>
        <w:numPr>
          <w:ilvl w:val="0"/>
          <w:numId w:val="4"/>
        </w:numPr>
        <w:contextualSpacing/>
        <w:jc w:val="left"/>
        <w:rPr>
          <w:rFonts w:asciiTheme="minorHAnsi" w:eastAsiaTheme="minorHAnsi" w:hAnsiTheme="minorHAnsi" w:cstheme="minorBidi"/>
          <w:sz w:val="22"/>
          <w:szCs w:val="22"/>
          <w:lang w:val="en-US" w:eastAsia="en-US"/>
        </w:rPr>
      </w:pPr>
      <w:r w:rsidRPr="008D4CB6">
        <w:rPr>
          <w:rFonts w:asciiTheme="minorHAnsi" w:eastAsiaTheme="minorHAnsi" w:hAnsiTheme="minorHAnsi" w:cstheme="minorBidi"/>
          <w:sz w:val="22"/>
          <w:szCs w:val="22"/>
          <w:lang w:val="en-US" w:eastAsia="en-US"/>
        </w:rPr>
        <w:t xml:space="preserve">It is the policy of the Town to promote statewide programs designed to make energy efficiency improvements affordable and likely to be implemented.  Town officials will support efforts to educate homeowners and businesses about available resources for energy efficiency improvements. </w:t>
      </w:r>
    </w:p>
    <w:p w:rsidR="00861599" w:rsidRPr="008D4CB6" w:rsidRDefault="00861599" w:rsidP="00861599">
      <w:pPr>
        <w:pStyle w:val="BodyText"/>
        <w:numPr>
          <w:ilvl w:val="0"/>
          <w:numId w:val="4"/>
        </w:numPr>
        <w:contextualSpacing/>
        <w:jc w:val="left"/>
        <w:rPr>
          <w:rFonts w:asciiTheme="minorHAnsi" w:eastAsiaTheme="minorHAnsi" w:hAnsiTheme="minorHAnsi" w:cstheme="minorBidi"/>
          <w:sz w:val="22"/>
          <w:szCs w:val="22"/>
          <w:lang w:val="en-US" w:eastAsia="en-US"/>
        </w:rPr>
      </w:pPr>
      <w:r w:rsidRPr="008D4CB6">
        <w:rPr>
          <w:rFonts w:asciiTheme="minorHAnsi" w:eastAsiaTheme="minorHAnsi" w:hAnsiTheme="minorHAnsi" w:cstheme="minorBidi"/>
          <w:sz w:val="22"/>
          <w:szCs w:val="22"/>
          <w:lang w:val="en-US" w:eastAsia="en-US"/>
        </w:rPr>
        <w:t>It is the policy of the Town that rehabilitation or development of new buildings and equipment should use proven design principles, in compliance with Vermont Building Energy Codes, and practices with the lowest life cycle costs (cost of owning, operating, maintaining, and disposing of a building or a building system over a period of time).</w:t>
      </w:r>
    </w:p>
    <w:p w:rsidR="00861599" w:rsidRPr="008D4CB6" w:rsidRDefault="00861599" w:rsidP="00861599">
      <w:pPr>
        <w:pStyle w:val="BodyText"/>
        <w:numPr>
          <w:ilvl w:val="0"/>
          <w:numId w:val="4"/>
        </w:numPr>
        <w:contextualSpacing/>
        <w:jc w:val="left"/>
        <w:rPr>
          <w:rFonts w:asciiTheme="minorHAnsi" w:eastAsiaTheme="minorHAnsi" w:hAnsiTheme="minorHAnsi" w:cstheme="minorBidi"/>
          <w:sz w:val="22"/>
          <w:szCs w:val="22"/>
          <w:lang w:val="en-US" w:eastAsia="en-US"/>
        </w:rPr>
      </w:pPr>
      <w:r w:rsidRPr="008D4CB6">
        <w:rPr>
          <w:rFonts w:asciiTheme="minorHAnsi" w:eastAsiaTheme="minorHAnsi" w:hAnsiTheme="minorHAnsi" w:cstheme="minorBidi"/>
          <w:sz w:val="22"/>
          <w:szCs w:val="22"/>
          <w:lang w:val="en-US" w:eastAsia="en-US"/>
        </w:rPr>
        <w:t>Where land development or subdivisions are proposed, design plans shall reflect sound energy use minimization principles, such as solar and slope orientation and protective wind barriers.  An example would be the cluster planning concept, which is an approach that encourages energy conservation and efficiency.</w:t>
      </w:r>
    </w:p>
    <w:p w:rsidR="00861599" w:rsidRPr="008D4CB6" w:rsidRDefault="00861599" w:rsidP="00861599">
      <w:pPr>
        <w:pStyle w:val="BodyText"/>
        <w:numPr>
          <w:ilvl w:val="0"/>
          <w:numId w:val="4"/>
        </w:numPr>
        <w:contextualSpacing/>
        <w:jc w:val="left"/>
        <w:rPr>
          <w:rFonts w:asciiTheme="minorHAnsi" w:eastAsiaTheme="minorHAnsi" w:hAnsiTheme="minorHAnsi" w:cstheme="minorBidi"/>
          <w:sz w:val="22"/>
          <w:szCs w:val="22"/>
          <w:lang w:val="en-US" w:eastAsia="en-US"/>
        </w:rPr>
      </w:pPr>
      <w:r w:rsidRPr="008D4CB6">
        <w:rPr>
          <w:rFonts w:asciiTheme="minorHAnsi" w:eastAsiaTheme="minorHAnsi" w:hAnsiTheme="minorHAnsi" w:cstheme="minorBidi"/>
          <w:sz w:val="22"/>
          <w:szCs w:val="22"/>
          <w:lang w:val="en-US" w:eastAsia="en-US"/>
        </w:rPr>
        <w:t xml:space="preserve">It is the policy of the Town that major public investments, such as schools, public recreational areas, and municipal facilities, as well as major commercial or residential developments need to be situated within or in close proximity the village, and shall utilize existing roads whenever possible. </w:t>
      </w:r>
    </w:p>
    <w:p w:rsidR="00861599" w:rsidRPr="008D4CB6" w:rsidRDefault="00861599" w:rsidP="00861599">
      <w:pPr>
        <w:pStyle w:val="BodyText"/>
        <w:numPr>
          <w:ilvl w:val="0"/>
          <w:numId w:val="4"/>
        </w:numPr>
        <w:contextualSpacing/>
        <w:jc w:val="left"/>
        <w:rPr>
          <w:rFonts w:asciiTheme="minorHAnsi" w:eastAsiaTheme="minorHAnsi" w:hAnsiTheme="minorHAnsi" w:cstheme="minorBidi"/>
          <w:sz w:val="22"/>
          <w:szCs w:val="22"/>
          <w:lang w:val="en-US" w:eastAsia="en-US"/>
        </w:rPr>
      </w:pPr>
      <w:r w:rsidRPr="008D4CB6">
        <w:rPr>
          <w:rFonts w:asciiTheme="minorHAnsi" w:eastAsiaTheme="minorHAnsi" w:hAnsiTheme="minorHAnsi" w:cstheme="minorBidi"/>
          <w:sz w:val="22"/>
          <w:szCs w:val="22"/>
          <w:lang w:val="en-US" w:eastAsia="en-US"/>
        </w:rPr>
        <w:t>It is the policy of the Town to reduce commuting, promote the development of broadband services, and to support energy efficient home occupations and small-scale home business.</w:t>
      </w:r>
    </w:p>
    <w:p w:rsidR="00861599" w:rsidRPr="008D4CB6" w:rsidRDefault="00861599" w:rsidP="00861599">
      <w:pPr>
        <w:pStyle w:val="BodyText"/>
        <w:numPr>
          <w:ilvl w:val="0"/>
          <w:numId w:val="4"/>
        </w:numPr>
        <w:contextualSpacing/>
        <w:jc w:val="left"/>
        <w:rPr>
          <w:rFonts w:asciiTheme="minorHAnsi" w:eastAsiaTheme="minorHAnsi" w:hAnsiTheme="minorHAnsi" w:cstheme="minorBidi"/>
          <w:sz w:val="22"/>
          <w:szCs w:val="22"/>
          <w:lang w:val="en-US" w:eastAsia="en-US"/>
        </w:rPr>
      </w:pPr>
      <w:r w:rsidRPr="008D4CB6">
        <w:rPr>
          <w:rFonts w:asciiTheme="minorHAnsi" w:eastAsiaTheme="minorHAnsi" w:hAnsiTheme="minorHAnsi" w:cstheme="minorBidi"/>
          <w:sz w:val="22"/>
          <w:szCs w:val="22"/>
          <w:lang w:val="en-US" w:eastAsia="en-US"/>
        </w:rPr>
        <w:lastRenderedPageBreak/>
        <w:t>It is the policy of the Town to promote energy efficient travel by encouraging walking, biking, carpooling, the increased use of public transportation, electric vehicles, telecommuting and home businesses.</w:t>
      </w:r>
    </w:p>
    <w:p w:rsidR="00861599" w:rsidRPr="008D4CB6" w:rsidRDefault="00861599" w:rsidP="00861599">
      <w:pPr>
        <w:pStyle w:val="BodyText"/>
        <w:numPr>
          <w:ilvl w:val="0"/>
          <w:numId w:val="0"/>
        </w:numPr>
        <w:ind w:left="1404"/>
        <w:contextualSpacing/>
        <w:jc w:val="left"/>
        <w:rPr>
          <w:rFonts w:asciiTheme="minorHAnsi" w:eastAsiaTheme="minorHAnsi" w:hAnsiTheme="minorHAnsi" w:cstheme="minorBidi"/>
          <w:sz w:val="22"/>
          <w:szCs w:val="22"/>
          <w:lang w:val="en-US" w:eastAsia="en-US"/>
        </w:rPr>
      </w:pPr>
      <w:r w:rsidRPr="008D4CB6">
        <w:rPr>
          <w:rFonts w:asciiTheme="minorHAnsi" w:eastAsiaTheme="minorHAnsi" w:hAnsiTheme="minorHAnsi" w:cstheme="minorBidi"/>
          <w:sz w:val="22"/>
          <w:szCs w:val="22"/>
          <w:lang w:val="en-US" w:eastAsia="en-US"/>
        </w:rPr>
        <w:br/>
      </w:r>
    </w:p>
    <w:p w:rsidR="00861599" w:rsidRPr="00481591" w:rsidRDefault="00861599" w:rsidP="00861599">
      <w:pPr>
        <w:pStyle w:val="GoalsPolicies"/>
        <w:contextualSpacing/>
        <w:rPr>
          <w:rFonts w:asciiTheme="minorHAnsi" w:eastAsiaTheme="minorHAnsi" w:hAnsiTheme="minorHAnsi" w:cstheme="minorBidi"/>
        </w:rPr>
      </w:pPr>
      <w:r w:rsidRPr="00481591">
        <w:rPr>
          <w:rFonts w:asciiTheme="minorHAnsi" w:eastAsiaTheme="minorHAnsi" w:hAnsiTheme="minorHAnsi" w:cstheme="minorBidi"/>
        </w:rPr>
        <w:t>Recommendations</w:t>
      </w:r>
    </w:p>
    <w:p w:rsidR="00861599" w:rsidRPr="008D4CB6" w:rsidRDefault="00861599" w:rsidP="00861599">
      <w:pPr>
        <w:pStyle w:val="GoalsPolicies"/>
        <w:contextualSpacing/>
        <w:rPr>
          <w:rFonts w:asciiTheme="minorHAnsi" w:eastAsiaTheme="minorHAnsi" w:hAnsiTheme="minorHAnsi" w:cstheme="minorBidi"/>
          <w:b w:val="0"/>
          <w:sz w:val="22"/>
          <w:szCs w:val="22"/>
        </w:rPr>
      </w:pPr>
    </w:p>
    <w:p w:rsidR="00861599" w:rsidRPr="008D4CB6" w:rsidRDefault="00861599" w:rsidP="008D4CB6">
      <w:pPr>
        <w:pStyle w:val="BodyText"/>
        <w:numPr>
          <w:ilvl w:val="0"/>
          <w:numId w:val="5"/>
        </w:numPr>
        <w:contextualSpacing/>
        <w:jc w:val="left"/>
        <w:rPr>
          <w:rFonts w:asciiTheme="minorHAnsi" w:eastAsiaTheme="minorHAnsi" w:hAnsiTheme="minorHAnsi" w:cstheme="minorBidi"/>
          <w:sz w:val="22"/>
          <w:szCs w:val="22"/>
          <w:lang w:val="en-US" w:eastAsia="en-US"/>
        </w:rPr>
      </w:pPr>
      <w:r w:rsidRPr="008D4CB6">
        <w:rPr>
          <w:rFonts w:asciiTheme="minorHAnsi" w:eastAsiaTheme="minorHAnsi" w:hAnsiTheme="minorHAnsi" w:cstheme="minorBidi"/>
          <w:sz w:val="22"/>
          <w:szCs w:val="22"/>
          <w:lang w:val="en-US" w:eastAsia="en-US"/>
        </w:rPr>
        <w:t>The Town should support the Bradford Energy Committee to increase public awareness and education of energy conservation practices and weatherization programs.</w:t>
      </w:r>
    </w:p>
    <w:p w:rsidR="00861599" w:rsidRPr="008D4CB6" w:rsidRDefault="00861599" w:rsidP="008D4CB6">
      <w:pPr>
        <w:pStyle w:val="BodyText"/>
        <w:numPr>
          <w:ilvl w:val="0"/>
          <w:numId w:val="5"/>
        </w:numPr>
        <w:contextualSpacing/>
        <w:jc w:val="left"/>
        <w:rPr>
          <w:rFonts w:asciiTheme="minorHAnsi" w:eastAsiaTheme="minorHAnsi" w:hAnsiTheme="minorHAnsi" w:cstheme="minorBidi"/>
          <w:sz w:val="22"/>
          <w:szCs w:val="22"/>
          <w:lang w:val="en-US" w:eastAsia="en-US"/>
        </w:rPr>
      </w:pPr>
      <w:r w:rsidRPr="008D4CB6">
        <w:rPr>
          <w:rFonts w:asciiTheme="minorHAnsi" w:eastAsiaTheme="minorHAnsi" w:hAnsiTheme="minorHAnsi" w:cstheme="minorBidi"/>
          <w:sz w:val="22"/>
          <w:szCs w:val="22"/>
          <w:lang w:val="en-US" w:eastAsia="en-US"/>
        </w:rPr>
        <w:t>The Town, with help from the Energy Committee, should develop municipal procurement and purchasing policies that encourage the use energy efficient and Energy Star rated products.</w:t>
      </w:r>
    </w:p>
    <w:p w:rsidR="00861599" w:rsidRPr="008D4CB6" w:rsidRDefault="00861599" w:rsidP="008D4CB6">
      <w:pPr>
        <w:pStyle w:val="BodyText"/>
        <w:numPr>
          <w:ilvl w:val="0"/>
          <w:numId w:val="5"/>
        </w:numPr>
        <w:contextualSpacing/>
        <w:jc w:val="left"/>
        <w:rPr>
          <w:rFonts w:asciiTheme="minorHAnsi" w:eastAsiaTheme="minorHAnsi" w:hAnsiTheme="minorHAnsi" w:cstheme="minorBidi"/>
          <w:sz w:val="22"/>
          <w:szCs w:val="22"/>
          <w:lang w:val="en-US" w:eastAsia="en-US"/>
        </w:rPr>
      </w:pPr>
      <w:r w:rsidRPr="008D4CB6">
        <w:rPr>
          <w:rFonts w:asciiTheme="minorHAnsi" w:eastAsiaTheme="minorHAnsi" w:hAnsiTheme="minorHAnsi" w:cstheme="minorBidi"/>
          <w:sz w:val="22"/>
          <w:szCs w:val="22"/>
          <w:lang w:val="en-US" w:eastAsia="en-US"/>
        </w:rPr>
        <w:t>The Selectboard should authorize the Energy Committee to track municipal energy use and costs and develop an energy budget with periodic energy audits to manage Town energy consumption.</w:t>
      </w:r>
    </w:p>
    <w:p w:rsidR="00861599" w:rsidRPr="008D4CB6" w:rsidRDefault="00861599" w:rsidP="008D4CB6">
      <w:pPr>
        <w:pStyle w:val="BodyText"/>
        <w:numPr>
          <w:ilvl w:val="0"/>
          <w:numId w:val="5"/>
        </w:numPr>
        <w:contextualSpacing/>
        <w:jc w:val="left"/>
        <w:rPr>
          <w:rFonts w:asciiTheme="minorHAnsi" w:eastAsiaTheme="minorHAnsi" w:hAnsiTheme="minorHAnsi" w:cstheme="minorBidi"/>
          <w:sz w:val="22"/>
          <w:szCs w:val="22"/>
          <w:lang w:val="en-US" w:eastAsia="en-US"/>
        </w:rPr>
      </w:pPr>
      <w:r w:rsidRPr="008D4CB6">
        <w:rPr>
          <w:rFonts w:asciiTheme="minorHAnsi" w:eastAsiaTheme="minorHAnsi" w:hAnsiTheme="minorHAnsi" w:cstheme="minorBidi"/>
          <w:sz w:val="22"/>
          <w:szCs w:val="22"/>
          <w:lang w:val="en-US" w:eastAsia="en-US"/>
        </w:rPr>
        <w:t xml:space="preserve">The town should incorporate </w:t>
      </w:r>
      <w:r w:rsidR="00481591">
        <w:rPr>
          <w:rFonts w:asciiTheme="minorHAnsi" w:eastAsiaTheme="minorHAnsi" w:hAnsiTheme="minorHAnsi" w:cstheme="minorBidi"/>
          <w:sz w:val="22"/>
          <w:szCs w:val="22"/>
          <w:lang w:val="en-US" w:eastAsia="en-US"/>
        </w:rPr>
        <w:t xml:space="preserve">renewable energy heating systems, </w:t>
      </w:r>
      <w:r w:rsidRPr="008D4CB6">
        <w:rPr>
          <w:rFonts w:asciiTheme="minorHAnsi" w:eastAsiaTheme="minorHAnsi" w:hAnsiTheme="minorHAnsi" w:cstheme="minorBidi"/>
          <w:sz w:val="22"/>
          <w:szCs w:val="22"/>
          <w:lang w:val="en-US" w:eastAsia="en-US"/>
        </w:rPr>
        <w:t>energy efficiency</w:t>
      </w:r>
      <w:r w:rsidR="00481591">
        <w:rPr>
          <w:rFonts w:asciiTheme="minorHAnsi" w:eastAsiaTheme="minorHAnsi" w:hAnsiTheme="minorHAnsi" w:cstheme="minorBidi"/>
          <w:sz w:val="22"/>
          <w:szCs w:val="22"/>
          <w:lang w:val="en-US" w:eastAsia="en-US"/>
        </w:rPr>
        <w:t xml:space="preserve">, and </w:t>
      </w:r>
      <w:r w:rsidRPr="008D4CB6">
        <w:rPr>
          <w:rFonts w:asciiTheme="minorHAnsi" w:eastAsiaTheme="minorHAnsi" w:hAnsiTheme="minorHAnsi" w:cstheme="minorBidi"/>
          <w:sz w:val="22"/>
          <w:szCs w:val="22"/>
          <w:lang w:val="en-US" w:eastAsia="en-US"/>
        </w:rPr>
        <w:t>weatherization projects into the municipal Capital Budget and Program.</w:t>
      </w:r>
    </w:p>
    <w:p w:rsidR="00861599" w:rsidRPr="008D4CB6" w:rsidRDefault="00861599" w:rsidP="008D4CB6">
      <w:pPr>
        <w:pStyle w:val="BodyText"/>
        <w:numPr>
          <w:ilvl w:val="0"/>
          <w:numId w:val="5"/>
        </w:numPr>
        <w:contextualSpacing/>
        <w:jc w:val="left"/>
        <w:rPr>
          <w:rFonts w:asciiTheme="minorHAnsi" w:eastAsiaTheme="minorHAnsi" w:hAnsiTheme="minorHAnsi" w:cstheme="minorBidi"/>
          <w:sz w:val="22"/>
          <w:szCs w:val="22"/>
          <w:lang w:val="en-US" w:eastAsia="en-US"/>
        </w:rPr>
      </w:pPr>
      <w:r w:rsidRPr="008D4CB6">
        <w:rPr>
          <w:rFonts w:asciiTheme="minorHAnsi" w:eastAsiaTheme="minorHAnsi" w:hAnsiTheme="minorHAnsi" w:cstheme="minorBidi"/>
          <w:sz w:val="22"/>
          <w:szCs w:val="22"/>
          <w:lang w:val="en-US" w:eastAsia="en-US"/>
        </w:rPr>
        <w:t>The Town should consider municipal or community renewable energy generation to serve town facilities, with funding by third-party financing, municipal funds, bonds, grants and/or government incentives.</w:t>
      </w:r>
    </w:p>
    <w:p w:rsidR="00A47853" w:rsidRDefault="00861599" w:rsidP="008D4CB6">
      <w:pPr>
        <w:pStyle w:val="BodyText"/>
        <w:numPr>
          <w:ilvl w:val="0"/>
          <w:numId w:val="5"/>
        </w:numPr>
        <w:contextualSpacing/>
        <w:jc w:val="left"/>
        <w:rPr>
          <w:rFonts w:asciiTheme="minorHAnsi" w:eastAsiaTheme="minorHAnsi" w:hAnsiTheme="minorHAnsi" w:cstheme="minorBidi"/>
          <w:sz w:val="22"/>
          <w:szCs w:val="22"/>
          <w:lang w:val="en-US" w:eastAsia="en-US"/>
        </w:rPr>
      </w:pPr>
      <w:r w:rsidRPr="008D4CB6">
        <w:rPr>
          <w:rFonts w:asciiTheme="minorHAnsi" w:eastAsiaTheme="minorHAnsi" w:hAnsiTheme="minorHAnsi" w:cstheme="minorBidi"/>
          <w:sz w:val="22"/>
          <w:szCs w:val="22"/>
          <w:lang w:val="en-US" w:eastAsia="en-US"/>
        </w:rPr>
        <w:t>The Town should continue to develop facility maintenance, efficiency measures, and operations policies to maximize energy efficiency while maintaining comfort levels for employees and visitors.</w:t>
      </w:r>
    </w:p>
    <w:p w:rsidR="00861599" w:rsidRPr="008D4CB6" w:rsidRDefault="00A47853" w:rsidP="008D4CB6">
      <w:pPr>
        <w:pStyle w:val="BodyText"/>
        <w:numPr>
          <w:ilvl w:val="0"/>
          <w:numId w:val="5"/>
        </w:numPr>
        <w:contextualSpacing/>
        <w:jc w:val="left"/>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The Town should evaluate the installation of a municipal or downtown renewable biomass heating or energy system.</w:t>
      </w:r>
    </w:p>
    <w:p w:rsidR="00861599" w:rsidRPr="008D4CB6" w:rsidRDefault="00861599" w:rsidP="008D4CB6">
      <w:pPr>
        <w:pStyle w:val="BodyText"/>
        <w:numPr>
          <w:ilvl w:val="0"/>
          <w:numId w:val="5"/>
        </w:numPr>
        <w:contextualSpacing/>
        <w:jc w:val="left"/>
        <w:rPr>
          <w:rFonts w:asciiTheme="minorHAnsi" w:eastAsiaTheme="minorHAnsi" w:hAnsiTheme="minorHAnsi" w:cstheme="minorBidi"/>
          <w:sz w:val="22"/>
          <w:szCs w:val="22"/>
          <w:lang w:val="en-US" w:eastAsia="en-US"/>
        </w:rPr>
      </w:pPr>
      <w:r w:rsidRPr="008D4CB6">
        <w:rPr>
          <w:rFonts w:asciiTheme="minorHAnsi" w:eastAsiaTheme="minorHAnsi" w:hAnsiTheme="minorHAnsi" w:cstheme="minorBidi"/>
          <w:sz w:val="22"/>
          <w:szCs w:val="22"/>
          <w:lang w:val="en-US" w:eastAsia="en-US"/>
        </w:rPr>
        <w:t>The Town should participate in programs such as the Vermont Climate Pledge Coalition to commit to meeting Vermont’s energy and climate goals</w:t>
      </w:r>
      <w:r w:rsidR="008D4CB6">
        <w:rPr>
          <w:rFonts w:asciiTheme="minorHAnsi" w:eastAsiaTheme="minorHAnsi" w:hAnsiTheme="minorHAnsi" w:cstheme="minorBidi"/>
          <w:sz w:val="22"/>
          <w:szCs w:val="22"/>
          <w:lang w:val="en-US" w:eastAsia="en-US"/>
        </w:rPr>
        <w:t>.</w:t>
      </w:r>
    </w:p>
    <w:p w:rsidR="00861599" w:rsidRPr="008D4CB6" w:rsidRDefault="00861599" w:rsidP="008D4CB6">
      <w:pPr>
        <w:pStyle w:val="BodyText"/>
        <w:numPr>
          <w:ilvl w:val="0"/>
          <w:numId w:val="5"/>
        </w:numPr>
        <w:contextualSpacing/>
        <w:jc w:val="left"/>
        <w:rPr>
          <w:rFonts w:asciiTheme="minorHAnsi" w:eastAsiaTheme="minorHAnsi" w:hAnsiTheme="minorHAnsi" w:cstheme="minorBidi"/>
          <w:sz w:val="22"/>
          <w:szCs w:val="22"/>
          <w:lang w:val="en-US" w:eastAsia="en-US"/>
        </w:rPr>
      </w:pPr>
      <w:r w:rsidRPr="008D4CB6">
        <w:rPr>
          <w:rFonts w:asciiTheme="minorHAnsi" w:eastAsiaTheme="minorHAnsi" w:hAnsiTheme="minorHAnsi" w:cstheme="minorBidi"/>
          <w:sz w:val="22"/>
          <w:szCs w:val="22"/>
          <w:lang w:val="en-US" w:eastAsia="en-US"/>
        </w:rPr>
        <w:t xml:space="preserve">The Town should </w:t>
      </w:r>
      <w:r w:rsidR="00481591">
        <w:rPr>
          <w:rFonts w:asciiTheme="minorHAnsi" w:eastAsiaTheme="minorHAnsi" w:hAnsiTheme="minorHAnsi" w:cstheme="minorBidi"/>
          <w:sz w:val="22"/>
          <w:szCs w:val="22"/>
          <w:lang w:val="en-US" w:eastAsia="en-US"/>
        </w:rPr>
        <w:t>pursue grants to promote energy efficiency and renewable energy projects.</w:t>
      </w:r>
    </w:p>
    <w:p w:rsidR="00861599" w:rsidRDefault="00861599" w:rsidP="008D4CB6">
      <w:pPr>
        <w:pStyle w:val="BodyText"/>
        <w:numPr>
          <w:ilvl w:val="0"/>
          <w:numId w:val="5"/>
        </w:numPr>
        <w:contextualSpacing/>
        <w:jc w:val="left"/>
        <w:rPr>
          <w:rFonts w:asciiTheme="minorHAnsi" w:eastAsiaTheme="minorHAnsi" w:hAnsiTheme="minorHAnsi" w:cstheme="minorBidi"/>
          <w:sz w:val="22"/>
          <w:szCs w:val="22"/>
          <w:lang w:val="en-US" w:eastAsia="en-US"/>
        </w:rPr>
      </w:pPr>
      <w:r w:rsidRPr="008D4CB6">
        <w:rPr>
          <w:rFonts w:asciiTheme="minorHAnsi" w:eastAsiaTheme="minorHAnsi" w:hAnsiTheme="minorHAnsi" w:cstheme="minorBidi"/>
          <w:sz w:val="22"/>
          <w:szCs w:val="22"/>
          <w:lang w:val="en-US" w:eastAsia="en-US"/>
        </w:rPr>
        <w:t>The Town should consider requiring a reimbursable fee to ensure that developers properly file their Residential Building Energy Standard Certificate.</w:t>
      </w:r>
    </w:p>
    <w:p w:rsidR="00481591" w:rsidRDefault="00481591" w:rsidP="008D4CB6">
      <w:pPr>
        <w:pStyle w:val="BodyText"/>
        <w:numPr>
          <w:ilvl w:val="0"/>
          <w:numId w:val="5"/>
        </w:numPr>
        <w:contextualSpacing/>
        <w:jc w:val="left"/>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The Town should consider revising the guidelines for its Revolving Loan Fund to allow low interest capital to homeowners, landlords, non-profit organizations, and businesses to assist in making cost effective investments in energy efficiency and renewable energy.</w:t>
      </w:r>
    </w:p>
    <w:p w:rsidR="00481591" w:rsidRPr="008D4CB6" w:rsidRDefault="00481591" w:rsidP="008D4CB6">
      <w:pPr>
        <w:pStyle w:val="BodyText"/>
        <w:numPr>
          <w:ilvl w:val="0"/>
          <w:numId w:val="5"/>
        </w:numPr>
        <w:contextualSpacing/>
        <w:jc w:val="left"/>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The Town should encourage Bradford schools to include walking, cycling and other transportation alternatives.</w:t>
      </w:r>
    </w:p>
    <w:p w:rsidR="00861599" w:rsidRDefault="00861599" w:rsidP="008D4CB6">
      <w:pPr>
        <w:numPr>
          <w:ilvl w:val="0"/>
          <w:numId w:val="5"/>
        </w:numPr>
        <w:spacing w:after="0" w:line="240" w:lineRule="auto"/>
        <w:contextualSpacing/>
      </w:pPr>
      <w:r>
        <w:t>The town should support K-12 schools to bring energy ideas and solutions into the classroom by working with organizations such as Vermont Energy Education Program (</w:t>
      </w:r>
      <w:hyperlink r:id="rId16" w:history="1">
        <w:r w:rsidRPr="008D4CB6">
          <w:t>http://veep.org</w:t>
        </w:r>
      </w:hyperlink>
      <w:r>
        <w:t>)</w:t>
      </w:r>
    </w:p>
    <w:p w:rsidR="00861599" w:rsidRDefault="00861599" w:rsidP="008D4CB6">
      <w:pPr>
        <w:numPr>
          <w:ilvl w:val="0"/>
          <w:numId w:val="5"/>
        </w:numPr>
        <w:spacing w:after="0" w:line="240" w:lineRule="auto"/>
        <w:contextualSpacing/>
      </w:pPr>
      <w:r>
        <w:t>The Town, with help from the Energy Committee</w:t>
      </w:r>
      <w:r w:rsidR="008D4CB6">
        <w:t>,</w:t>
      </w:r>
      <w:r>
        <w:t xml:space="preserve"> should support programs such as Vital Communities’ Weatherize Upper Valley to help provide outreach and education to residents about ways to conserve energy and to facilitate the increased use of heat pumps and advanced wood heating.</w:t>
      </w:r>
    </w:p>
    <w:p w:rsidR="00861599" w:rsidRDefault="00861599" w:rsidP="008D4CB6">
      <w:pPr>
        <w:numPr>
          <w:ilvl w:val="0"/>
          <w:numId w:val="5"/>
        </w:numPr>
        <w:spacing w:after="0" w:line="240" w:lineRule="auto"/>
        <w:contextualSpacing/>
      </w:pPr>
      <w:r>
        <w:t xml:space="preserve">The Town should pursue sidewalk, recreation paths, bicycle lanes and other Complete Streets projects </w:t>
      </w:r>
      <w:r w:rsidR="008D4CB6">
        <w:t xml:space="preserve">and grants </w:t>
      </w:r>
      <w:r>
        <w:t>to reduce local transportation energy use and promote healthy lifestyles.</w:t>
      </w:r>
    </w:p>
    <w:p w:rsidR="00861599" w:rsidRDefault="00861599" w:rsidP="008D4CB6">
      <w:pPr>
        <w:numPr>
          <w:ilvl w:val="0"/>
          <w:numId w:val="5"/>
        </w:numPr>
        <w:spacing w:after="0" w:line="240" w:lineRule="auto"/>
        <w:contextualSpacing/>
      </w:pPr>
      <w:r>
        <w:t>The Town should install electric vehicle charging stations on municipally owned property.</w:t>
      </w:r>
    </w:p>
    <w:p w:rsidR="00861599" w:rsidRDefault="00861599" w:rsidP="00861599">
      <w:pPr>
        <w:contextualSpacing/>
      </w:pPr>
    </w:p>
    <w:p w:rsidR="00861599" w:rsidRPr="008A7F7D" w:rsidRDefault="00861599">
      <w:pPr>
        <w:rPr>
          <w:sz w:val="28"/>
          <w:szCs w:val="28"/>
        </w:rPr>
      </w:pPr>
    </w:p>
    <w:sectPr w:rsidR="00861599" w:rsidRPr="008A7F7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CD3" w:rsidRDefault="00393CD3" w:rsidP="00E104E0">
      <w:pPr>
        <w:spacing w:after="0" w:line="240" w:lineRule="auto"/>
      </w:pPr>
      <w:r>
        <w:separator/>
      </w:r>
    </w:p>
  </w:endnote>
  <w:endnote w:type="continuationSeparator" w:id="0">
    <w:p w:rsidR="00393CD3" w:rsidRDefault="00393CD3" w:rsidP="00E1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539821"/>
      <w:docPartObj>
        <w:docPartGallery w:val="Page Numbers (Bottom of Page)"/>
        <w:docPartUnique/>
      </w:docPartObj>
    </w:sdtPr>
    <w:sdtEndPr>
      <w:rPr>
        <w:noProof/>
      </w:rPr>
    </w:sdtEndPr>
    <w:sdtContent>
      <w:p w:rsidR="00393CD3" w:rsidRDefault="00393CD3" w:rsidP="003A67B7">
        <w:pPr>
          <w:pStyle w:val="Footer"/>
        </w:pPr>
        <w:r>
          <w:t>Bradford Energy Chapter Draft 4/23/18</w:t>
        </w:r>
        <w:r>
          <w:tab/>
        </w:r>
        <w:r>
          <w:tab/>
        </w:r>
        <w:r>
          <w:fldChar w:fldCharType="begin"/>
        </w:r>
        <w:r>
          <w:instrText xml:space="preserve"> PAGE   \* MERGEFORMAT </w:instrText>
        </w:r>
        <w:r>
          <w:fldChar w:fldCharType="separate"/>
        </w:r>
        <w:r>
          <w:rPr>
            <w:noProof/>
          </w:rPr>
          <w:t>2</w:t>
        </w:r>
        <w:r>
          <w:rPr>
            <w:noProof/>
          </w:rPr>
          <w:fldChar w:fldCharType="end"/>
        </w:r>
      </w:p>
    </w:sdtContent>
  </w:sdt>
  <w:p w:rsidR="00393CD3" w:rsidRDefault="00393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CD3" w:rsidRDefault="00393CD3" w:rsidP="00E104E0">
      <w:pPr>
        <w:spacing w:after="0" w:line="240" w:lineRule="auto"/>
      </w:pPr>
      <w:r>
        <w:separator/>
      </w:r>
    </w:p>
  </w:footnote>
  <w:footnote w:type="continuationSeparator" w:id="0">
    <w:p w:rsidR="00393CD3" w:rsidRDefault="00393CD3" w:rsidP="00E10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31AB"/>
    <w:multiLevelType w:val="hybridMultilevel"/>
    <w:tmpl w:val="45183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F7AAC"/>
    <w:multiLevelType w:val="hybridMultilevel"/>
    <w:tmpl w:val="BFBE8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77D5A"/>
    <w:multiLevelType w:val="hybridMultilevel"/>
    <w:tmpl w:val="66F2DF0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16E174A4"/>
    <w:multiLevelType w:val="hybridMultilevel"/>
    <w:tmpl w:val="C870F0FE"/>
    <w:lvl w:ilvl="0" w:tplc="40485AD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1B7709"/>
    <w:multiLevelType w:val="hybridMultilevel"/>
    <w:tmpl w:val="FD58D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F7214"/>
    <w:multiLevelType w:val="hybridMultilevel"/>
    <w:tmpl w:val="9D0690C6"/>
    <w:lvl w:ilvl="0" w:tplc="8826C49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FA575F"/>
    <w:multiLevelType w:val="hybridMultilevel"/>
    <w:tmpl w:val="456CB1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02EA5"/>
    <w:multiLevelType w:val="hybridMultilevel"/>
    <w:tmpl w:val="CF1C0368"/>
    <w:lvl w:ilvl="0" w:tplc="0409000F">
      <w:start w:val="1"/>
      <w:numFmt w:val="decimal"/>
      <w:lvlText w:val="%1."/>
      <w:lvlJc w:val="left"/>
      <w:pPr>
        <w:ind w:left="720" w:hanging="360"/>
      </w:pPr>
    </w:lvl>
    <w:lvl w:ilvl="1" w:tplc="E5D495FA">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90A53"/>
    <w:multiLevelType w:val="hybridMultilevel"/>
    <w:tmpl w:val="CFD011C0"/>
    <w:lvl w:ilvl="0" w:tplc="04090011">
      <w:start w:val="1"/>
      <w:numFmt w:val="decimal"/>
      <w:lvlText w:val="%1)"/>
      <w:lvlJc w:val="left"/>
      <w:pPr>
        <w:ind w:left="720" w:hanging="360"/>
      </w:pPr>
    </w:lvl>
    <w:lvl w:ilvl="1" w:tplc="62F49B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12D4E"/>
    <w:multiLevelType w:val="multilevel"/>
    <w:tmpl w:val="B07A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452D62"/>
    <w:multiLevelType w:val="hybridMultilevel"/>
    <w:tmpl w:val="7DF6BF74"/>
    <w:lvl w:ilvl="0" w:tplc="0409000F">
      <w:start w:val="1"/>
      <w:numFmt w:val="decimal"/>
      <w:lvlText w:val="%1."/>
      <w:lvlJc w:val="left"/>
      <w:pPr>
        <w:ind w:left="720" w:hanging="360"/>
      </w:pPr>
      <w:rPr>
        <w:rFonts w:hint="default"/>
      </w:rPr>
    </w:lvl>
    <w:lvl w:ilvl="1" w:tplc="794AA90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03DEF"/>
    <w:multiLevelType w:val="hybridMultilevel"/>
    <w:tmpl w:val="F2DA2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9122AA"/>
    <w:multiLevelType w:val="hybridMultilevel"/>
    <w:tmpl w:val="E056FCF6"/>
    <w:lvl w:ilvl="0" w:tplc="04090015">
      <w:start w:val="1"/>
      <w:numFmt w:val="upperLetter"/>
      <w:lvlText w:val="%1."/>
      <w:lvlJc w:val="left"/>
      <w:pPr>
        <w:tabs>
          <w:tab w:val="num" w:pos="468"/>
        </w:tabs>
        <w:ind w:left="180" w:firstLine="0"/>
      </w:pPr>
      <w:rPr>
        <w:rFonts w:hint="default"/>
      </w:rPr>
    </w:lvl>
    <w:lvl w:ilvl="1" w:tplc="6726B96C">
      <w:start w:val="1"/>
      <w:numFmt w:val="bullet"/>
      <w:lvlText w:val=""/>
      <w:lvlJc w:val="left"/>
      <w:pPr>
        <w:tabs>
          <w:tab w:val="num" w:pos="792"/>
        </w:tabs>
        <w:ind w:left="792" w:hanging="288"/>
      </w:pPr>
      <w:rPr>
        <w:rFonts w:ascii="Symbol" w:hAnsi="Symbol" w:hint="default"/>
      </w:rPr>
    </w:lvl>
    <w:lvl w:ilvl="2" w:tplc="0AF81A08">
      <w:start w:val="1"/>
      <w:numFmt w:val="decimal"/>
      <w:pStyle w:val="BodyText"/>
      <w:lvlText w:val="%3."/>
      <w:lvlJc w:val="left"/>
      <w:pPr>
        <w:tabs>
          <w:tab w:val="num" w:pos="1764"/>
        </w:tabs>
        <w:ind w:left="1764" w:hanging="360"/>
      </w:pPr>
      <w:rPr>
        <w:rFonts w:hint="default"/>
      </w:r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13" w15:restartNumberingAfterBreak="0">
    <w:nsid w:val="58964BDA"/>
    <w:multiLevelType w:val="hybridMultilevel"/>
    <w:tmpl w:val="A6A0C6EC"/>
    <w:lvl w:ilvl="0" w:tplc="0409000F">
      <w:start w:val="1"/>
      <w:numFmt w:val="decimal"/>
      <w:lvlText w:val="%1."/>
      <w:lvlJc w:val="left"/>
      <w:pPr>
        <w:ind w:left="720" w:hanging="360"/>
      </w:pPr>
      <w:rPr>
        <w:rFonts w:hint="default"/>
      </w:rPr>
    </w:lvl>
    <w:lvl w:ilvl="1" w:tplc="EBE0A0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B03D8"/>
    <w:multiLevelType w:val="hybridMultilevel"/>
    <w:tmpl w:val="625E38BE"/>
    <w:lvl w:ilvl="0" w:tplc="EF2ACE82">
      <w:start w:val="1"/>
      <w:numFmt w:val="decimal"/>
      <w:lvlText w:val="%1."/>
      <w:lvlJc w:val="left"/>
      <w:pPr>
        <w:tabs>
          <w:tab w:val="num" w:pos="720"/>
        </w:tabs>
        <w:ind w:left="720" w:hanging="360"/>
      </w:pPr>
    </w:lvl>
    <w:lvl w:ilvl="1" w:tplc="0AF81A08"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78383F4C"/>
    <w:multiLevelType w:val="hybridMultilevel"/>
    <w:tmpl w:val="14A20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112E7"/>
    <w:multiLevelType w:val="hybridMultilevel"/>
    <w:tmpl w:val="B0FAF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5"/>
  </w:num>
  <w:num w:numId="4">
    <w:abstractNumId w:val="3"/>
  </w:num>
  <w:num w:numId="5">
    <w:abstractNumId w:val="0"/>
  </w:num>
  <w:num w:numId="6">
    <w:abstractNumId w:val="1"/>
  </w:num>
  <w:num w:numId="7">
    <w:abstractNumId w:val="9"/>
  </w:num>
  <w:num w:numId="8">
    <w:abstractNumId w:val="16"/>
  </w:num>
  <w:num w:numId="9">
    <w:abstractNumId w:val="2"/>
  </w:num>
  <w:num w:numId="10">
    <w:abstractNumId w:val="7"/>
  </w:num>
  <w:num w:numId="11">
    <w:abstractNumId w:val="10"/>
  </w:num>
  <w:num w:numId="12">
    <w:abstractNumId w:val="13"/>
  </w:num>
  <w:num w:numId="13">
    <w:abstractNumId w:val="4"/>
  </w:num>
  <w:num w:numId="14">
    <w:abstractNumId w:val="15"/>
  </w:num>
  <w:num w:numId="15">
    <w:abstractNumId w:val="1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F7D"/>
    <w:rsid w:val="00007BA5"/>
    <w:rsid w:val="00051FC2"/>
    <w:rsid w:val="00083E23"/>
    <w:rsid w:val="000D477D"/>
    <w:rsid w:val="000E00BA"/>
    <w:rsid w:val="001060EC"/>
    <w:rsid w:val="00176201"/>
    <w:rsid w:val="001878C8"/>
    <w:rsid w:val="001A3BF2"/>
    <w:rsid w:val="001D3260"/>
    <w:rsid w:val="00211DF5"/>
    <w:rsid w:val="00222F82"/>
    <w:rsid w:val="00277626"/>
    <w:rsid w:val="00280FA7"/>
    <w:rsid w:val="002A6925"/>
    <w:rsid w:val="002C2B53"/>
    <w:rsid w:val="002F297A"/>
    <w:rsid w:val="00305D4F"/>
    <w:rsid w:val="00312490"/>
    <w:rsid w:val="003563BD"/>
    <w:rsid w:val="00356C45"/>
    <w:rsid w:val="00391EFD"/>
    <w:rsid w:val="00393CD3"/>
    <w:rsid w:val="003A67B7"/>
    <w:rsid w:val="003C25A0"/>
    <w:rsid w:val="003F7ACB"/>
    <w:rsid w:val="004205B6"/>
    <w:rsid w:val="00481591"/>
    <w:rsid w:val="004A5130"/>
    <w:rsid w:val="004B7565"/>
    <w:rsid w:val="00522542"/>
    <w:rsid w:val="005C034C"/>
    <w:rsid w:val="005D019B"/>
    <w:rsid w:val="005F720D"/>
    <w:rsid w:val="0062225E"/>
    <w:rsid w:val="00660E41"/>
    <w:rsid w:val="006A7593"/>
    <w:rsid w:val="006C4EB3"/>
    <w:rsid w:val="006E3898"/>
    <w:rsid w:val="00702EF0"/>
    <w:rsid w:val="00715C0A"/>
    <w:rsid w:val="00734B0A"/>
    <w:rsid w:val="0075648A"/>
    <w:rsid w:val="00772961"/>
    <w:rsid w:val="007B5A59"/>
    <w:rsid w:val="00811D64"/>
    <w:rsid w:val="00817340"/>
    <w:rsid w:val="00861599"/>
    <w:rsid w:val="00861CB3"/>
    <w:rsid w:val="00871C72"/>
    <w:rsid w:val="008A7F7D"/>
    <w:rsid w:val="008C7E4F"/>
    <w:rsid w:val="008D4CB6"/>
    <w:rsid w:val="008E29EF"/>
    <w:rsid w:val="00937E6D"/>
    <w:rsid w:val="00951312"/>
    <w:rsid w:val="00952A95"/>
    <w:rsid w:val="00983F50"/>
    <w:rsid w:val="009A3FCF"/>
    <w:rsid w:val="009A62A9"/>
    <w:rsid w:val="009B06E2"/>
    <w:rsid w:val="009E0F17"/>
    <w:rsid w:val="009F02CA"/>
    <w:rsid w:val="00A1432F"/>
    <w:rsid w:val="00A47853"/>
    <w:rsid w:val="00A837C3"/>
    <w:rsid w:val="00AC764E"/>
    <w:rsid w:val="00B53EA6"/>
    <w:rsid w:val="00B93D76"/>
    <w:rsid w:val="00BC23E5"/>
    <w:rsid w:val="00C00D18"/>
    <w:rsid w:val="00C27FD5"/>
    <w:rsid w:val="00C4479F"/>
    <w:rsid w:val="00C62EB9"/>
    <w:rsid w:val="00C84527"/>
    <w:rsid w:val="00C8643C"/>
    <w:rsid w:val="00CA4F16"/>
    <w:rsid w:val="00CA50D5"/>
    <w:rsid w:val="00CB628C"/>
    <w:rsid w:val="00CC5BC4"/>
    <w:rsid w:val="00CE3302"/>
    <w:rsid w:val="00CF32FE"/>
    <w:rsid w:val="00D03B71"/>
    <w:rsid w:val="00D13E9D"/>
    <w:rsid w:val="00D23219"/>
    <w:rsid w:val="00D254BE"/>
    <w:rsid w:val="00D447F6"/>
    <w:rsid w:val="00D511A8"/>
    <w:rsid w:val="00D64AD0"/>
    <w:rsid w:val="00D85F55"/>
    <w:rsid w:val="00D93266"/>
    <w:rsid w:val="00DA13B6"/>
    <w:rsid w:val="00DA433E"/>
    <w:rsid w:val="00DC0260"/>
    <w:rsid w:val="00DE486E"/>
    <w:rsid w:val="00E104E0"/>
    <w:rsid w:val="00E3177E"/>
    <w:rsid w:val="00E511F8"/>
    <w:rsid w:val="00E554D7"/>
    <w:rsid w:val="00E60A6D"/>
    <w:rsid w:val="00E965B2"/>
    <w:rsid w:val="00E96BF1"/>
    <w:rsid w:val="00EB7B0E"/>
    <w:rsid w:val="00EE29E1"/>
    <w:rsid w:val="00F81EE7"/>
    <w:rsid w:val="00FA796D"/>
    <w:rsid w:val="00FD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289CF-9E14-4053-92A9-6C4409D0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aliases w:val="Town Plan - Heading 2"/>
    <w:basedOn w:val="Normal"/>
    <w:next w:val="Normal"/>
    <w:link w:val="Heading2Char"/>
    <w:uiPriority w:val="9"/>
    <w:qFormat/>
    <w:rsid w:val="00861599"/>
    <w:pPr>
      <w:keepNext/>
      <w:spacing w:before="360" w:after="0" w:line="360" w:lineRule="auto"/>
      <w:jc w:val="both"/>
      <w:outlineLvl w:val="1"/>
    </w:pPr>
    <w:rPr>
      <w:rFonts w:ascii="Arial" w:eastAsia="Times New Roman" w:hAnsi="Arial" w:cs="Times New Roman"/>
      <w:b/>
      <w:sz w:val="24"/>
      <w:szCs w:val="20"/>
      <w:lang w:val="x-none" w:eastAsia="x-none"/>
    </w:rPr>
  </w:style>
  <w:style w:type="paragraph" w:styleId="Heading3">
    <w:name w:val="heading 3"/>
    <w:basedOn w:val="Normal"/>
    <w:next w:val="Normal"/>
    <w:link w:val="Heading3Char"/>
    <w:qFormat/>
    <w:rsid w:val="00A837C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0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4E0"/>
  </w:style>
  <w:style w:type="paragraph" w:styleId="Footer">
    <w:name w:val="footer"/>
    <w:basedOn w:val="Normal"/>
    <w:link w:val="FooterChar"/>
    <w:uiPriority w:val="99"/>
    <w:unhideWhenUsed/>
    <w:rsid w:val="00E10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4E0"/>
  </w:style>
  <w:style w:type="paragraph" w:styleId="BalloonText">
    <w:name w:val="Balloon Text"/>
    <w:basedOn w:val="Normal"/>
    <w:link w:val="BalloonTextChar"/>
    <w:uiPriority w:val="99"/>
    <w:semiHidden/>
    <w:unhideWhenUsed/>
    <w:rsid w:val="007B5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59"/>
    <w:rPr>
      <w:rFonts w:ascii="Tahoma" w:hAnsi="Tahoma" w:cs="Tahoma"/>
      <w:sz w:val="16"/>
      <w:szCs w:val="16"/>
    </w:rPr>
  </w:style>
  <w:style w:type="character" w:customStyle="1" w:styleId="Heading2Char">
    <w:name w:val="Heading 2 Char"/>
    <w:aliases w:val="Town Plan - Heading 2 Char"/>
    <w:basedOn w:val="DefaultParagraphFont"/>
    <w:link w:val="Heading2"/>
    <w:uiPriority w:val="9"/>
    <w:rsid w:val="00861599"/>
    <w:rPr>
      <w:rFonts w:ascii="Arial" w:eastAsia="Times New Roman" w:hAnsi="Arial" w:cs="Times New Roman"/>
      <w:b/>
      <w:sz w:val="24"/>
      <w:szCs w:val="20"/>
      <w:lang w:val="x-none" w:eastAsia="x-none"/>
    </w:rPr>
  </w:style>
  <w:style w:type="paragraph" w:styleId="BodyText">
    <w:name w:val="Body Text"/>
    <w:basedOn w:val="Normal"/>
    <w:link w:val="BodyTextChar"/>
    <w:rsid w:val="00861599"/>
    <w:pPr>
      <w:numPr>
        <w:ilvl w:val="2"/>
        <w:numId w:val="1"/>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861599"/>
    <w:rPr>
      <w:rFonts w:ascii="Times New Roman" w:eastAsia="Times New Roman" w:hAnsi="Times New Roman" w:cs="Times New Roman"/>
      <w:sz w:val="24"/>
      <w:szCs w:val="20"/>
      <w:lang w:val="x-none" w:eastAsia="x-none"/>
    </w:rPr>
  </w:style>
  <w:style w:type="character" w:styleId="Hyperlink">
    <w:name w:val="Hyperlink"/>
    <w:uiPriority w:val="99"/>
    <w:rsid w:val="00861599"/>
    <w:rPr>
      <w:color w:val="0000FF"/>
      <w:u w:val="single"/>
    </w:rPr>
  </w:style>
  <w:style w:type="paragraph" w:customStyle="1" w:styleId="GoalsPolicies">
    <w:name w:val="Goals &amp; Policies"/>
    <w:basedOn w:val="Normal"/>
    <w:rsid w:val="00861599"/>
    <w:pPr>
      <w:spacing w:after="0" w:line="240" w:lineRule="auto"/>
    </w:pPr>
    <w:rPr>
      <w:rFonts w:ascii="Times New Roman" w:eastAsia="Times New Roman" w:hAnsi="Times New Roman" w:cs="Times New Roman"/>
      <w:b/>
      <w:sz w:val="24"/>
      <w:szCs w:val="24"/>
    </w:rPr>
  </w:style>
  <w:style w:type="paragraph" w:styleId="ListParagraph">
    <w:name w:val="List Paragraph"/>
    <w:basedOn w:val="Normal"/>
    <w:link w:val="ListParagraphChar"/>
    <w:uiPriority w:val="34"/>
    <w:qFormat/>
    <w:rsid w:val="00861599"/>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861599"/>
    <w:rPr>
      <w:rFonts w:ascii="Times New Roman" w:eastAsia="Times New Roman" w:hAnsi="Times New Roman" w:cs="Times New Roman"/>
      <w:sz w:val="24"/>
      <w:szCs w:val="24"/>
    </w:rPr>
  </w:style>
  <w:style w:type="paragraph" w:styleId="NormalWeb">
    <w:name w:val="Normal (Web)"/>
    <w:basedOn w:val="Normal"/>
    <w:uiPriority w:val="99"/>
    <w:rsid w:val="00CA50D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64AD0"/>
    <w:rPr>
      <w:color w:val="808080"/>
      <w:shd w:val="clear" w:color="auto" w:fill="E6E6E6"/>
    </w:rPr>
  </w:style>
  <w:style w:type="character" w:customStyle="1" w:styleId="Heading3Char">
    <w:name w:val="Heading 3 Char"/>
    <w:basedOn w:val="DefaultParagraphFont"/>
    <w:link w:val="Heading3"/>
    <w:rsid w:val="00A837C3"/>
    <w:rPr>
      <w:rFonts w:ascii="Arial" w:eastAsia="Times New Roman" w:hAnsi="Arial" w:cs="Arial"/>
      <w:b/>
      <w:bCs/>
      <w:sz w:val="26"/>
      <w:szCs w:val="26"/>
    </w:rPr>
  </w:style>
  <w:style w:type="paragraph" w:customStyle="1" w:styleId="Default">
    <w:name w:val="Default"/>
    <w:rsid w:val="00CA4F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6079">
      <w:bodyDiv w:val="1"/>
      <w:marLeft w:val="0"/>
      <w:marRight w:val="0"/>
      <w:marTop w:val="0"/>
      <w:marBottom w:val="0"/>
      <w:divBdr>
        <w:top w:val="none" w:sz="0" w:space="0" w:color="auto"/>
        <w:left w:val="none" w:sz="0" w:space="0" w:color="auto"/>
        <w:bottom w:val="none" w:sz="0" w:space="0" w:color="auto"/>
        <w:right w:val="none" w:sz="0" w:space="0" w:color="auto"/>
      </w:divBdr>
    </w:div>
    <w:div w:id="540098646">
      <w:bodyDiv w:val="1"/>
      <w:marLeft w:val="0"/>
      <w:marRight w:val="0"/>
      <w:marTop w:val="0"/>
      <w:marBottom w:val="0"/>
      <w:divBdr>
        <w:top w:val="none" w:sz="0" w:space="0" w:color="auto"/>
        <w:left w:val="none" w:sz="0" w:space="0" w:color="auto"/>
        <w:bottom w:val="none" w:sz="0" w:space="0" w:color="auto"/>
        <w:right w:val="none" w:sz="0" w:space="0" w:color="auto"/>
      </w:divBdr>
    </w:div>
    <w:div w:id="725228383">
      <w:bodyDiv w:val="1"/>
      <w:marLeft w:val="0"/>
      <w:marRight w:val="0"/>
      <w:marTop w:val="0"/>
      <w:marBottom w:val="0"/>
      <w:divBdr>
        <w:top w:val="none" w:sz="0" w:space="0" w:color="auto"/>
        <w:left w:val="none" w:sz="0" w:space="0" w:color="auto"/>
        <w:bottom w:val="none" w:sz="0" w:space="0" w:color="auto"/>
        <w:right w:val="none" w:sz="0" w:space="0" w:color="auto"/>
      </w:divBdr>
    </w:div>
    <w:div w:id="894193740">
      <w:bodyDiv w:val="1"/>
      <w:marLeft w:val="0"/>
      <w:marRight w:val="0"/>
      <w:marTop w:val="0"/>
      <w:marBottom w:val="0"/>
      <w:divBdr>
        <w:top w:val="none" w:sz="0" w:space="0" w:color="auto"/>
        <w:left w:val="none" w:sz="0" w:space="0" w:color="auto"/>
        <w:bottom w:val="none" w:sz="0" w:space="0" w:color="auto"/>
        <w:right w:val="none" w:sz="0" w:space="0" w:color="auto"/>
      </w:divBdr>
    </w:div>
    <w:div w:id="1794398625">
      <w:bodyDiv w:val="1"/>
      <w:marLeft w:val="0"/>
      <w:marRight w:val="0"/>
      <w:marTop w:val="0"/>
      <w:marBottom w:val="0"/>
      <w:divBdr>
        <w:top w:val="none" w:sz="0" w:space="0" w:color="auto"/>
        <w:left w:val="none" w:sz="0" w:space="0" w:color="auto"/>
        <w:bottom w:val="none" w:sz="0" w:space="0" w:color="auto"/>
        <w:right w:val="none" w:sz="0" w:space="0" w:color="auto"/>
      </w:divBdr>
    </w:div>
    <w:div w:id="1877965556">
      <w:bodyDiv w:val="1"/>
      <w:marLeft w:val="0"/>
      <w:marRight w:val="0"/>
      <w:marTop w:val="0"/>
      <w:marBottom w:val="0"/>
      <w:divBdr>
        <w:top w:val="none" w:sz="0" w:space="0" w:color="auto"/>
        <w:left w:val="none" w:sz="0" w:space="0" w:color="auto"/>
        <w:bottom w:val="none" w:sz="0" w:space="0" w:color="auto"/>
        <w:right w:val="none" w:sz="0" w:space="0" w:color="auto"/>
      </w:divBdr>
    </w:div>
    <w:div w:id="211670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a.gov"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ia.gov" TargetMode="Externa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vee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Sheet1!$B$1</c:f>
              <c:strCache>
                <c:ptCount val="1"/>
                <c:pt idx="0">
                  <c:v>2016 Average Annual Residential Energy Usage (kWh)</c:v>
                </c:pt>
              </c:strCache>
            </c:strRef>
          </c:tx>
          <c:invertIfNegative val="0"/>
          <c:dPt>
            <c:idx val="29"/>
            <c:invertIfNegative val="0"/>
            <c:bubble3D val="0"/>
            <c:extLst>
              <c:ext xmlns:c16="http://schemas.microsoft.com/office/drawing/2014/chart" uri="{C3380CC4-5D6E-409C-BE32-E72D297353CC}">
                <c16:uniqueId val="{00000000-A48D-42AC-B059-86789F2F2B41}"/>
              </c:ext>
            </c:extLst>
          </c:dPt>
          <c:cat>
            <c:strRef>
              <c:f>Sheet1!$A$2:$A$31</c:f>
              <c:strCache>
                <c:ptCount val="30"/>
                <c:pt idx="0">
                  <c:v>Norwich</c:v>
                </c:pt>
                <c:pt idx="1">
                  <c:v>Plymouth</c:v>
                </c:pt>
                <c:pt idx="2">
                  <c:v>Pomfret</c:v>
                </c:pt>
                <c:pt idx="3">
                  <c:v>Hartland</c:v>
                </c:pt>
                <c:pt idx="4">
                  <c:v>Hartford</c:v>
                </c:pt>
                <c:pt idx="5">
                  <c:v>Bridgewater</c:v>
                </c:pt>
                <c:pt idx="6">
                  <c:v>Sharon</c:v>
                </c:pt>
                <c:pt idx="7">
                  <c:v>Bethel</c:v>
                </c:pt>
                <c:pt idx="8">
                  <c:v>Randolph</c:v>
                </c:pt>
                <c:pt idx="9">
                  <c:v>Braintree</c:v>
                </c:pt>
                <c:pt idx="10">
                  <c:v>Woodstock</c:v>
                </c:pt>
                <c:pt idx="11">
                  <c:v>Barnard</c:v>
                </c:pt>
                <c:pt idx="12">
                  <c:v>Pittsfield</c:v>
                </c:pt>
                <c:pt idx="13">
                  <c:v>Brookfield</c:v>
                </c:pt>
                <c:pt idx="14">
                  <c:v>Thetford</c:v>
                </c:pt>
                <c:pt idx="15">
                  <c:v>Stockbridge</c:v>
                </c:pt>
                <c:pt idx="16">
                  <c:v>West Fairlee</c:v>
                </c:pt>
                <c:pt idx="17">
                  <c:v>Bradford</c:v>
                </c:pt>
                <c:pt idx="18">
                  <c:v>Fairlee</c:v>
                </c:pt>
                <c:pt idx="19">
                  <c:v>Royalton</c:v>
                </c:pt>
                <c:pt idx="20">
                  <c:v>Tunbridge</c:v>
                </c:pt>
                <c:pt idx="21">
                  <c:v>Hancock</c:v>
                </c:pt>
                <c:pt idx="22">
                  <c:v>Topsham</c:v>
                </c:pt>
                <c:pt idx="23">
                  <c:v>Rochester</c:v>
                </c:pt>
                <c:pt idx="24">
                  <c:v>Newbury</c:v>
                </c:pt>
                <c:pt idx="25">
                  <c:v>Strafford</c:v>
                </c:pt>
                <c:pt idx="26">
                  <c:v>Chelsea</c:v>
                </c:pt>
                <c:pt idx="27">
                  <c:v>Cornith</c:v>
                </c:pt>
                <c:pt idx="28">
                  <c:v>Granville</c:v>
                </c:pt>
                <c:pt idx="29">
                  <c:v>Vershire</c:v>
                </c:pt>
              </c:strCache>
            </c:strRef>
          </c:cat>
          <c:val>
            <c:numRef>
              <c:f>Sheet1!$B$2:$B$31</c:f>
              <c:numCache>
                <c:formatCode>General</c:formatCode>
                <c:ptCount val="30"/>
                <c:pt idx="0">
                  <c:v>7435</c:v>
                </c:pt>
                <c:pt idx="1">
                  <c:v>7375</c:v>
                </c:pt>
                <c:pt idx="2">
                  <c:v>7256</c:v>
                </c:pt>
                <c:pt idx="3">
                  <c:v>7190</c:v>
                </c:pt>
                <c:pt idx="4">
                  <c:v>7050</c:v>
                </c:pt>
                <c:pt idx="5">
                  <c:v>6906</c:v>
                </c:pt>
                <c:pt idx="6">
                  <c:v>6808</c:v>
                </c:pt>
                <c:pt idx="7">
                  <c:v>6735</c:v>
                </c:pt>
                <c:pt idx="8">
                  <c:v>6728</c:v>
                </c:pt>
                <c:pt idx="9">
                  <c:v>6714</c:v>
                </c:pt>
                <c:pt idx="10">
                  <c:v>6708</c:v>
                </c:pt>
                <c:pt idx="11">
                  <c:v>6581</c:v>
                </c:pt>
                <c:pt idx="12">
                  <c:v>6525</c:v>
                </c:pt>
                <c:pt idx="13">
                  <c:v>6444</c:v>
                </c:pt>
                <c:pt idx="14">
                  <c:v>6423</c:v>
                </c:pt>
                <c:pt idx="15">
                  <c:v>6213</c:v>
                </c:pt>
                <c:pt idx="16">
                  <c:v>6151</c:v>
                </c:pt>
                <c:pt idx="17">
                  <c:v>6119</c:v>
                </c:pt>
                <c:pt idx="18">
                  <c:v>6117</c:v>
                </c:pt>
                <c:pt idx="19">
                  <c:v>6082</c:v>
                </c:pt>
                <c:pt idx="20">
                  <c:v>6073</c:v>
                </c:pt>
                <c:pt idx="21">
                  <c:v>6055</c:v>
                </c:pt>
                <c:pt idx="22">
                  <c:v>6034</c:v>
                </c:pt>
                <c:pt idx="23">
                  <c:v>5997</c:v>
                </c:pt>
                <c:pt idx="24">
                  <c:v>5872</c:v>
                </c:pt>
                <c:pt idx="25">
                  <c:v>5796</c:v>
                </c:pt>
                <c:pt idx="26">
                  <c:v>5744</c:v>
                </c:pt>
                <c:pt idx="27">
                  <c:v>5529</c:v>
                </c:pt>
                <c:pt idx="28">
                  <c:v>5475</c:v>
                </c:pt>
                <c:pt idx="29">
                  <c:v>5205</c:v>
                </c:pt>
              </c:numCache>
            </c:numRef>
          </c:val>
          <c:extLst>
            <c:ext xmlns:c16="http://schemas.microsoft.com/office/drawing/2014/chart" uri="{C3380CC4-5D6E-409C-BE32-E72D297353CC}">
              <c16:uniqueId val="{00000001-A48D-42AC-B059-86789F2F2B41}"/>
            </c:ext>
          </c:extLst>
        </c:ser>
        <c:dLbls>
          <c:showLegendKey val="0"/>
          <c:showVal val="0"/>
          <c:showCatName val="0"/>
          <c:showSerName val="0"/>
          <c:showPercent val="0"/>
          <c:showBubbleSize val="0"/>
        </c:dLbls>
        <c:gapWidth val="150"/>
        <c:axId val="237577760"/>
        <c:axId val="1"/>
      </c:barChart>
      <c:catAx>
        <c:axId val="237577760"/>
        <c:scaling>
          <c:orientation val="minMax"/>
        </c:scaling>
        <c:delete val="0"/>
        <c:axPos val="b"/>
        <c:numFmt formatCode="General" sourceLinked="0"/>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237577760"/>
        <c:crosses val="autoZero"/>
        <c:crossBetween val="between"/>
      </c:valAx>
    </c:plotArea>
    <c:plotVisOnly val="0"/>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878</TotalTime>
  <Pages>20</Pages>
  <Words>7751</Words>
  <Characters>44181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Damiani</dc:creator>
  <cp:keywords/>
  <dc:description/>
  <cp:lastModifiedBy>Dee Gish</cp:lastModifiedBy>
  <cp:revision>55</cp:revision>
  <cp:lastPrinted>2018-04-10T20:36:00Z</cp:lastPrinted>
  <dcterms:created xsi:type="dcterms:W3CDTF">2018-03-14T13:44:00Z</dcterms:created>
  <dcterms:modified xsi:type="dcterms:W3CDTF">2018-04-23T18:57:00Z</dcterms:modified>
</cp:coreProperties>
</file>